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B34" w:rsidRDefault="00CB6A41">
      <w:pPr>
        <w:rPr>
          <w:rFonts w:ascii="Arial" w:hAnsi="Arial" w:cs="Arial"/>
          <w:b/>
          <w:sz w:val="24"/>
          <w:szCs w:val="24"/>
        </w:rPr>
      </w:pPr>
      <w:bookmarkStart w:id="0" w:name="_GoBack"/>
      <w:bookmarkEnd w:id="0"/>
      <w:r>
        <w:rPr>
          <w:rFonts w:ascii="Arial" w:hAnsi="Arial" w:cs="Arial"/>
          <w:b/>
          <w:sz w:val="24"/>
          <w:szCs w:val="24"/>
        </w:rPr>
        <w:t>THE HIGHLAND LICENSING BOARD</w:t>
      </w:r>
    </w:p>
    <w:p w:rsidR="00CB6A41" w:rsidRDefault="00CB6A41" w:rsidP="00276164">
      <w:pPr>
        <w:jc w:val="both"/>
        <w:rPr>
          <w:rFonts w:ascii="Arial" w:hAnsi="Arial" w:cs="Arial"/>
          <w:b/>
          <w:sz w:val="24"/>
          <w:szCs w:val="24"/>
        </w:rPr>
      </w:pPr>
      <w:r>
        <w:rPr>
          <w:rFonts w:ascii="Arial" w:hAnsi="Arial" w:cs="Arial"/>
          <w:b/>
          <w:sz w:val="24"/>
          <w:szCs w:val="24"/>
        </w:rPr>
        <w:t xml:space="preserve">CONSULTATION ON INTRODUCTION OF A SUPPLEMENTARY POLICY </w:t>
      </w:r>
      <w:proofErr w:type="gramStart"/>
      <w:r>
        <w:rPr>
          <w:rFonts w:ascii="Arial" w:hAnsi="Arial" w:cs="Arial"/>
          <w:b/>
          <w:sz w:val="24"/>
          <w:szCs w:val="24"/>
        </w:rPr>
        <w:t>STATEMENT :</w:t>
      </w:r>
      <w:proofErr w:type="gramEnd"/>
      <w:r>
        <w:rPr>
          <w:rFonts w:ascii="Arial" w:hAnsi="Arial" w:cs="Arial"/>
          <w:b/>
          <w:sz w:val="24"/>
          <w:szCs w:val="24"/>
        </w:rPr>
        <w:t xml:space="preserve"> EXTENDED HOURS FOR </w:t>
      </w:r>
      <w:r w:rsidR="00C5580E">
        <w:rPr>
          <w:rFonts w:ascii="Arial" w:hAnsi="Arial" w:cs="Arial"/>
          <w:b/>
          <w:sz w:val="24"/>
          <w:szCs w:val="24"/>
        </w:rPr>
        <w:t xml:space="preserve">SPECIAL </w:t>
      </w:r>
      <w:r>
        <w:rPr>
          <w:rFonts w:ascii="Arial" w:hAnsi="Arial" w:cs="Arial"/>
          <w:b/>
          <w:sz w:val="24"/>
          <w:szCs w:val="24"/>
        </w:rPr>
        <w:t xml:space="preserve">EVENTS OF </w:t>
      </w:r>
      <w:r w:rsidR="00115E16">
        <w:rPr>
          <w:rFonts w:ascii="Arial" w:hAnsi="Arial" w:cs="Arial"/>
          <w:b/>
          <w:sz w:val="24"/>
          <w:szCs w:val="24"/>
        </w:rPr>
        <w:t xml:space="preserve">LOCAL OR </w:t>
      </w:r>
      <w:r>
        <w:rPr>
          <w:rFonts w:ascii="Arial" w:hAnsi="Arial" w:cs="Arial"/>
          <w:b/>
          <w:sz w:val="24"/>
          <w:szCs w:val="24"/>
        </w:rPr>
        <w:t>NATIONAL SIGNIFICANCE</w:t>
      </w:r>
    </w:p>
    <w:p w:rsidR="00C9757D" w:rsidRDefault="00C9757D" w:rsidP="00276164">
      <w:pPr>
        <w:jc w:val="both"/>
        <w:rPr>
          <w:rFonts w:ascii="Arial" w:hAnsi="Arial" w:cs="Arial"/>
          <w:sz w:val="24"/>
          <w:szCs w:val="24"/>
        </w:rPr>
      </w:pPr>
    </w:p>
    <w:p w:rsidR="00C9757D" w:rsidRPr="00C9757D" w:rsidRDefault="00C9757D" w:rsidP="00276164">
      <w:pPr>
        <w:jc w:val="both"/>
        <w:rPr>
          <w:rFonts w:ascii="Arial" w:hAnsi="Arial" w:cs="Arial"/>
          <w:b/>
          <w:sz w:val="24"/>
          <w:szCs w:val="24"/>
          <w:u w:val="single"/>
        </w:rPr>
      </w:pPr>
      <w:r>
        <w:rPr>
          <w:rFonts w:ascii="Arial" w:hAnsi="Arial" w:cs="Arial"/>
          <w:b/>
          <w:sz w:val="24"/>
          <w:szCs w:val="24"/>
          <w:u w:val="single"/>
        </w:rPr>
        <w:t>Background</w:t>
      </w:r>
    </w:p>
    <w:p w:rsidR="00CB6A41" w:rsidRDefault="00483DA8" w:rsidP="00276164">
      <w:pPr>
        <w:jc w:val="both"/>
        <w:rPr>
          <w:rFonts w:ascii="Arial" w:hAnsi="Arial" w:cs="Arial"/>
          <w:sz w:val="24"/>
          <w:szCs w:val="24"/>
        </w:rPr>
      </w:pPr>
      <w:r>
        <w:rPr>
          <w:rFonts w:ascii="Arial" w:hAnsi="Arial" w:cs="Arial"/>
          <w:sz w:val="24"/>
          <w:szCs w:val="24"/>
        </w:rPr>
        <w:t>The Highland Licensing Board’s Policy Statement 2013-16, section 2.3, specifies that over the Christmas and New Year period applications under section 68 of the Licensing (Scotland) Act 2005 (the “Act”) to extend licensed hours to 0400 hours for late-opening premises and 0200 hours for other on-sales premises will generally be granted unless, in any particular case, the Board consider that there are material reasons to refuse the application.</w:t>
      </w:r>
    </w:p>
    <w:p w:rsidR="00483DA8" w:rsidRDefault="00483DA8" w:rsidP="00276164">
      <w:pPr>
        <w:jc w:val="both"/>
        <w:rPr>
          <w:rFonts w:ascii="Arial" w:hAnsi="Arial" w:cs="Arial"/>
          <w:sz w:val="24"/>
          <w:szCs w:val="24"/>
        </w:rPr>
      </w:pPr>
      <w:r>
        <w:rPr>
          <w:rFonts w:ascii="Arial" w:hAnsi="Arial" w:cs="Arial"/>
          <w:sz w:val="24"/>
          <w:szCs w:val="24"/>
        </w:rPr>
        <w:t xml:space="preserve">It further provides that premises which have, within the “Seasonal Variations” section of their operating plan, a statement to the effect that they will open for such extended hours as the Board may agree each festive period will not require </w:t>
      </w:r>
      <w:proofErr w:type="gramStart"/>
      <w:r>
        <w:rPr>
          <w:rFonts w:ascii="Arial" w:hAnsi="Arial" w:cs="Arial"/>
          <w:sz w:val="24"/>
          <w:szCs w:val="24"/>
        </w:rPr>
        <w:t>to lodge</w:t>
      </w:r>
      <w:proofErr w:type="gramEnd"/>
      <w:r>
        <w:rPr>
          <w:rFonts w:ascii="Arial" w:hAnsi="Arial" w:cs="Arial"/>
          <w:sz w:val="24"/>
          <w:szCs w:val="24"/>
        </w:rPr>
        <w:t xml:space="preserve"> applications under section 68 for these festive period terminal hours.  They will, however, be subject to a condition requiring prior notification to the Board and to Police Scotland of the dates within the festive period on which </w:t>
      </w:r>
      <w:r w:rsidR="00276164">
        <w:rPr>
          <w:rFonts w:ascii="Arial" w:hAnsi="Arial" w:cs="Arial"/>
          <w:sz w:val="24"/>
          <w:szCs w:val="24"/>
        </w:rPr>
        <w:t>the premises will be open until the festive period terminal hours.</w:t>
      </w:r>
    </w:p>
    <w:p w:rsidR="00276164" w:rsidRDefault="00276164" w:rsidP="00276164">
      <w:pPr>
        <w:jc w:val="both"/>
        <w:rPr>
          <w:rFonts w:ascii="Arial" w:hAnsi="Arial" w:cs="Arial"/>
          <w:sz w:val="24"/>
          <w:szCs w:val="24"/>
        </w:rPr>
      </w:pPr>
      <w:r>
        <w:rPr>
          <w:rFonts w:ascii="Arial" w:hAnsi="Arial" w:cs="Arial"/>
          <w:sz w:val="24"/>
          <w:szCs w:val="24"/>
        </w:rPr>
        <w:t xml:space="preserve">In either case, the statement also provides that the Board may impose such Late Opening Conditions as it considers necessary or expedient for the purposes of </w:t>
      </w:r>
      <w:r w:rsidR="00C9757D">
        <w:rPr>
          <w:rFonts w:ascii="Arial" w:hAnsi="Arial" w:cs="Arial"/>
          <w:sz w:val="24"/>
          <w:szCs w:val="24"/>
        </w:rPr>
        <w:t xml:space="preserve">any of </w:t>
      </w:r>
      <w:r>
        <w:rPr>
          <w:rFonts w:ascii="Arial" w:hAnsi="Arial" w:cs="Arial"/>
          <w:sz w:val="24"/>
          <w:szCs w:val="24"/>
        </w:rPr>
        <w:t>the licensing objectives</w:t>
      </w:r>
      <w:r w:rsidR="00C9757D">
        <w:rPr>
          <w:rFonts w:ascii="Arial" w:hAnsi="Arial" w:cs="Arial"/>
          <w:sz w:val="24"/>
          <w:szCs w:val="24"/>
        </w:rPr>
        <w:t>.</w:t>
      </w:r>
    </w:p>
    <w:p w:rsidR="00E77FBB" w:rsidRDefault="00C9757D" w:rsidP="00276164">
      <w:pPr>
        <w:jc w:val="both"/>
        <w:rPr>
          <w:rFonts w:ascii="Arial" w:hAnsi="Arial" w:cs="Arial"/>
          <w:sz w:val="24"/>
          <w:szCs w:val="24"/>
        </w:rPr>
      </w:pPr>
      <w:r>
        <w:rPr>
          <w:rFonts w:ascii="Arial" w:hAnsi="Arial" w:cs="Arial"/>
          <w:sz w:val="24"/>
          <w:szCs w:val="24"/>
        </w:rPr>
        <w:t xml:space="preserve">No similar provision is made in the </w:t>
      </w:r>
      <w:r w:rsidR="008011CF">
        <w:rPr>
          <w:rFonts w:ascii="Arial" w:hAnsi="Arial" w:cs="Arial"/>
          <w:sz w:val="24"/>
          <w:szCs w:val="24"/>
        </w:rPr>
        <w:t xml:space="preserve">Policy Statement indicating the extended hours which will generally be granted for </w:t>
      </w:r>
      <w:r>
        <w:rPr>
          <w:rFonts w:ascii="Arial" w:hAnsi="Arial" w:cs="Arial"/>
          <w:sz w:val="24"/>
          <w:szCs w:val="24"/>
        </w:rPr>
        <w:t>other special events of loc</w:t>
      </w:r>
      <w:r w:rsidR="008011CF">
        <w:rPr>
          <w:rFonts w:ascii="Arial" w:hAnsi="Arial" w:cs="Arial"/>
          <w:sz w:val="24"/>
          <w:szCs w:val="24"/>
        </w:rPr>
        <w:t>al or national significance</w:t>
      </w:r>
      <w:r w:rsidR="00E77FBB">
        <w:rPr>
          <w:rFonts w:ascii="Arial" w:hAnsi="Arial" w:cs="Arial"/>
          <w:sz w:val="24"/>
          <w:szCs w:val="24"/>
        </w:rPr>
        <w:t>, such as Halloween, Burns Night, the National Mod, etc</w:t>
      </w:r>
      <w:r w:rsidR="008011CF">
        <w:rPr>
          <w:rFonts w:ascii="Arial" w:hAnsi="Arial" w:cs="Arial"/>
          <w:sz w:val="24"/>
          <w:szCs w:val="24"/>
        </w:rPr>
        <w:t xml:space="preserve">.  </w:t>
      </w:r>
      <w:r w:rsidR="00E77FBB">
        <w:rPr>
          <w:rFonts w:ascii="Arial" w:hAnsi="Arial" w:cs="Arial"/>
          <w:sz w:val="24"/>
          <w:szCs w:val="24"/>
        </w:rPr>
        <w:t>Licensees accordingly have no advance indication of what extended hours they may be granted for such other special events and it is recognised that this may create advance planning difficulties</w:t>
      </w:r>
      <w:r w:rsidR="00962341">
        <w:rPr>
          <w:rFonts w:ascii="Arial" w:hAnsi="Arial" w:cs="Arial"/>
          <w:sz w:val="24"/>
          <w:szCs w:val="24"/>
        </w:rPr>
        <w:t>, particularly where pre-advertised parties or functions are proposed</w:t>
      </w:r>
      <w:r w:rsidR="00E77FBB">
        <w:rPr>
          <w:rFonts w:ascii="Arial" w:hAnsi="Arial" w:cs="Arial"/>
          <w:sz w:val="24"/>
          <w:szCs w:val="24"/>
        </w:rPr>
        <w:t>.</w:t>
      </w:r>
    </w:p>
    <w:p w:rsidR="00BD3BC5" w:rsidRDefault="00E77FBB" w:rsidP="00276164">
      <w:pPr>
        <w:jc w:val="both"/>
        <w:rPr>
          <w:rFonts w:ascii="Arial" w:hAnsi="Arial" w:cs="Arial"/>
          <w:sz w:val="24"/>
          <w:szCs w:val="24"/>
        </w:rPr>
      </w:pPr>
      <w:r>
        <w:rPr>
          <w:rFonts w:ascii="Arial" w:hAnsi="Arial" w:cs="Arial"/>
          <w:sz w:val="24"/>
          <w:szCs w:val="24"/>
        </w:rPr>
        <w:t xml:space="preserve">The Board has agreed therefore to consult with its statutory </w:t>
      </w:r>
      <w:proofErr w:type="spellStart"/>
      <w:r>
        <w:rPr>
          <w:rFonts w:ascii="Arial" w:hAnsi="Arial" w:cs="Arial"/>
          <w:sz w:val="24"/>
          <w:szCs w:val="24"/>
        </w:rPr>
        <w:t>consultees</w:t>
      </w:r>
      <w:proofErr w:type="spellEnd"/>
      <w:r>
        <w:rPr>
          <w:rFonts w:ascii="Arial" w:hAnsi="Arial" w:cs="Arial"/>
          <w:sz w:val="24"/>
          <w:szCs w:val="24"/>
        </w:rPr>
        <w:t xml:space="preserve"> and the wider public on whether to introduce a supplementary policy statement to provide greater certainty for licensees on the extended hours they can generally expect to be </w:t>
      </w:r>
      <w:proofErr w:type="gramStart"/>
      <w:r>
        <w:rPr>
          <w:rFonts w:ascii="Arial" w:hAnsi="Arial" w:cs="Arial"/>
          <w:sz w:val="24"/>
          <w:szCs w:val="24"/>
        </w:rPr>
        <w:t>allowed</w:t>
      </w:r>
      <w:proofErr w:type="gramEnd"/>
      <w:r>
        <w:rPr>
          <w:rFonts w:ascii="Arial" w:hAnsi="Arial" w:cs="Arial"/>
          <w:sz w:val="24"/>
          <w:szCs w:val="24"/>
        </w:rPr>
        <w:t xml:space="preserve"> for </w:t>
      </w:r>
      <w:r w:rsidR="00BD3BC5">
        <w:rPr>
          <w:rFonts w:ascii="Arial" w:hAnsi="Arial" w:cs="Arial"/>
          <w:sz w:val="24"/>
          <w:szCs w:val="24"/>
        </w:rPr>
        <w:t>particular special events of local or national significance.</w:t>
      </w:r>
    </w:p>
    <w:p w:rsidR="00BD3BC5" w:rsidRDefault="00E168EA" w:rsidP="00276164">
      <w:pPr>
        <w:contextualSpacing/>
        <w:jc w:val="both"/>
        <w:rPr>
          <w:rFonts w:ascii="Arial" w:hAnsi="Arial" w:cs="Arial"/>
          <w:b/>
          <w:sz w:val="24"/>
          <w:szCs w:val="24"/>
        </w:rPr>
      </w:pPr>
      <w:r>
        <w:rPr>
          <w:rFonts w:ascii="Arial" w:hAnsi="Arial" w:cs="Arial"/>
          <w:sz w:val="24"/>
          <w:szCs w:val="24"/>
        </w:rPr>
        <w:t>Set out below is</w:t>
      </w:r>
      <w:r w:rsidR="00BD3BC5">
        <w:rPr>
          <w:rFonts w:ascii="Arial" w:hAnsi="Arial" w:cs="Arial"/>
          <w:sz w:val="24"/>
          <w:szCs w:val="24"/>
        </w:rPr>
        <w:t xml:space="preserve"> a consultation questionnaire which you are invited to complete and return to </w:t>
      </w:r>
      <w:r w:rsidR="00BD3BC5">
        <w:rPr>
          <w:rFonts w:ascii="Arial" w:hAnsi="Arial" w:cs="Arial"/>
          <w:b/>
          <w:sz w:val="24"/>
          <w:szCs w:val="24"/>
        </w:rPr>
        <w:t xml:space="preserve">Susan Blease, </w:t>
      </w:r>
      <w:proofErr w:type="spellStart"/>
      <w:r w:rsidR="00BD3BC5">
        <w:rPr>
          <w:rFonts w:ascii="Arial" w:hAnsi="Arial" w:cs="Arial"/>
          <w:b/>
          <w:sz w:val="24"/>
          <w:szCs w:val="24"/>
        </w:rPr>
        <w:t>Depute</w:t>
      </w:r>
      <w:proofErr w:type="spellEnd"/>
      <w:r w:rsidR="00BD3BC5">
        <w:rPr>
          <w:rFonts w:ascii="Arial" w:hAnsi="Arial" w:cs="Arial"/>
          <w:b/>
          <w:sz w:val="24"/>
          <w:szCs w:val="24"/>
        </w:rPr>
        <w:t xml:space="preserve"> Clerk, The Highland Licensing Board, Council Offices, High Street, Dingwall IV15 </w:t>
      </w:r>
      <w:proofErr w:type="gramStart"/>
      <w:r w:rsidR="00BD3BC5">
        <w:rPr>
          <w:rFonts w:ascii="Arial" w:hAnsi="Arial" w:cs="Arial"/>
          <w:b/>
          <w:sz w:val="24"/>
          <w:szCs w:val="24"/>
        </w:rPr>
        <w:t>9QN</w:t>
      </w:r>
      <w:proofErr w:type="gramEnd"/>
    </w:p>
    <w:p w:rsidR="00BD3BC5" w:rsidRDefault="00BD3BC5" w:rsidP="00276164">
      <w:pPr>
        <w:contextualSpacing/>
        <w:jc w:val="both"/>
        <w:rPr>
          <w:rFonts w:ascii="Arial" w:hAnsi="Arial" w:cs="Arial"/>
          <w:b/>
          <w:sz w:val="24"/>
          <w:szCs w:val="24"/>
        </w:rPr>
      </w:pPr>
      <w:r>
        <w:rPr>
          <w:rFonts w:ascii="Arial" w:hAnsi="Arial" w:cs="Arial"/>
          <w:b/>
          <w:sz w:val="24"/>
          <w:szCs w:val="24"/>
        </w:rPr>
        <w:t xml:space="preserve">Email: </w:t>
      </w:r>
      <w:hyperlink r:id="rId9" w:history="1">
        <w:r w:rsidRPr="00EE67BD">
          <w:rPr>
            <w:rStyle w:val="Hyperlink"/>
            <w:rFonts w:ascii="Arial" w:hAnsi="Arial" w:cs="Arial"/>
            <w:b/>
            <w:sz w:val="24"/>
            <w:szCs w:val="24"/>
          </w:rPr>
          <w:t>susan.blease@highland.gov.uk</w:t>
        </w:r>
      </w:hyperlink>
      <w:r>
        <w:rPr>
          <w:rFonts w:ascii="Arial" w:hAnsi="Arial" w:cs="Arial"/>
          <w:b/>
          <w:sz w:val="24"/>
          <w:szCs w:val="24"/>
        </w:rPr>
        <w:t xml:space="preserve">    Tel: 01349 868 538</w:t>
      </w:r>
    </w:p>
    <w:p w:rsidR="00BD3BC5" w:rsidRDefault="00BD3BC5" w:rsidP="00276164">
      <w:pPr>
        <w:contextualSpacing/>
        <w:jc w:val="both"/>
        <w:rPr>
          <w:rFonts w:ascii="Arial" w:hAnsi="Arial" w:cs="Arial"/>
          <w:b/>
          <w:sz w:val="24"/>
          <w:szCs w:val="24"/>
        </w:rPr>
      </w:pPr>
    </w:p>
    <w:p w:rsidR="00C363BC" w:rsidRDefault="00C363BC" w:rsidP="00276164">
      <w:pPr>
        <w:contextualSpacing/>
        <w:jc w:val="both"/>
        <w:rPr>
          <w:rFonts w:ascii="Arial" w:hAnsi="Arial" w:cs="Arial"/>
          <w:sz w:val="24"/>
          <w:szCs w:val="24"/>
        </w:rPr>
      </w:pPr>
      <w:r>
        <w:rPr>
          <w:rFonts w:ascii="Arial" w:hAnsi="Arial" w:cs="Arial"/>
          <w:sz w:val="24"/>
          <w:szCs w:val="24"/>
        </w:rPr>
        <w:t xml:space="preserve">All consultation responses received by </w:t>
      </w:r>
      <w:r w:rsidR="00115E16">
        <w:rPr>
          <w:rFonts w:ascii="Arial" w:hAnsi="Arial" w:cs="Arial"/>
          <w:b/>
          <w:sz w:val="24"/>
          <w:szCs w:val="24"/>
        </w:rPr>
        <w:t xml:space="preserve">5 pm on FRIDAY 17 APRIL </w:t>
      </w:r>
      <w:r w:rsidRPr="00C363BC">
        <w:rPr>
          <w:rFonts w:ascii="Arial" w:hAnsi="Arial" w:cs="Arial"/>
          <w:b/>
          <w:sz w:val="24"/>
          <w:szCs w:val="24"/>
        </w:rPr>
        <w:t>2015</w:t>
      </w:r>
      <w:r>
        <w:rPr>
          <w:rFonts w:ascii="Arial" w:hAnsi="Arial" w:cs="Arial"/>
          <w:sz w:val="24"/>
          <w:szCs w:val="24"/>
        </w:rPr>
        <w:t xml:space="preserve"> will be considered by the Board before it reaches a decision on whether to introduce a supplementary policy statement and, if so, which special events of local or national significance should be included.</w:t>
      </w:r>
    </w:p>
    <w:p w:rsidR="00C363BC" w:rsidRDefault="00C363BC" w:rsidP="00276164">
      <w:pPr>
        <w:contextualSpacing/>
        <w:jc w:val="both"/>
        <w:rPr>
          <w:rFonts w:ascii="Arial" w:hAnsi="Arial" w:cs="Arial"/>
          <w:sz w:val="24"/>
          <w:szCs w:val="24"/>
        </w:rPr>
      </w:pPr>
    </w:p>
    <w:p w:rsidR="00C363BC" w:rsidRPr="00C363BC" w:rsidRDefault="00C363BC" w:rsidP="00276164">
      <w:pPr>
        <w:contextualSpacing/>
        <w:jc w:val="both"/>
        <w:rPr>
          <w:rFonts w:ascii="Arial" w:hAnsi="Arial" w:cs="Arial"/>
          <w:sz w:val="24"/>
          <w:szCs w:val="24"/>
        </w:rPr>
      </w:pPr>
    </w:p>
    <w:p w:rsidR="00C363BC" w:rsidRDefault="00C363BC" w:rsidP="00276164">
      <w:pPr>
        <w:contextualSpacing/>
        <w:jc w:val="both"/>
        <w:rPr>
          <w:rFonts w:ascii="Arial" w:hAnsi="Arial" w:cs="Arial"/>
          <w:b/>
          <w:sz w:val="24"/>
          <w:szCs w:val="24"/>
          <w:u w:val="single"/>
        </w:rPr>
      </w:pPr>
    </w:p>
    <w:p w:rsidR="00BD3BC5" w:rsidRDefault="00BD3BC5" w:rsidP="00276164">
      <w:pPr>
        <w:contextualSpacing/>
        <w:jc w:val="both"/>
        <w:rPr>
          <w:rFonts w:ascii="Arial" w:hAnsi="Arial" w:cs="Arial"/>
          <w:b/>
          <w:sz w:val="24"/>
          <w:szCs w:val="24"/>
          <w:u w:val="single"/>
        </w:rPr>
      </w:pPr>
      <w:r>
        <w:rPr>
          <w:rFonts w:ascii="Arial" w:hAnsi="Arial" w:cs="Arial"/>
          <w:b/>
          <w:sz w:val="24"/>
          <w:szCs w:val="24"/>
          <w:u w:val="single"/>
        </w:rPr>
        <w:t>Consultation Questionnaire</w:t>
      </w:r>
    </w:p>
    <w:p w:rsidR="00693D9A" w:rsidRDefault="00693D9A" w:rsidP="00276164">
      <w:pPr>
        <w:contextualSpacing/>
        <w:jc w:val="both"/>
        <w:rPr>
          <w:rFonts w:ascii="Arial" w:hAnsi="Arial" w:cs="Arial"/>
          <w:b/>
          <w:sz w:val="24"/>
          <w:szCs w:val="24"/>
          <w:u w:val="single"/>
        </w:rPr>
      </w:pPr>
    </w:p>
    <w:p w:rsidR="00C363BC" w:rsidRDefault="00C363BC" w:rsidP="00276164">
      <w:pPr>
        <w:contextualSpacing/>
        <w:jc w:val="both"/>
        <w:rPr>
          <w:rFonts w:ascii="Arial" w:hAnsi="Arial" w:cs="Arial"/>
          <w:b/>
          <w:sz w:val="24"/>
          <w:szCs w:val="24"/>
          <w:u w:val="single"/>
        </w:rPr>
      </w:pPr>
    </w:p>
    <w:tbl>
      <w:tblPr>
        <w:tblStyle w:val="TableGrid"/>
        <w:tblW w:w="0" w:type="auto"/>
        <w:tblLook w:val="04A0" w:firstRow="1" w:lastRow="0" w:firstColumn="1" w:lastColumn="0" w:noHBand="0" w:noVBand="1"/>
      </w:tblPr>
      <w:tblGrid>
        <w:gridCol w:w="9242"/>
      </w:tblGrid>
      <w:tr w:rsidR="00693D9A" w:rsidTr="00E06286">
        <w:tc>
          <w:tcPr>
            <w:tcW w:w="9242" w:type="dxa"/>
          </w:tcPr>
          <w:p w:rsidR="00693D9A" w:rsidRDefault="00693D9A" w:rsidP="00276164">
            <w:pPr>
              <w:contextualSpacing/>
              <w:jc w:val="both"/>
              <w:rPr>
                <w:rFonts w:ascii="Arial" w:hAnsi="Arial" w:cs="Arial"/>
                <w:b/>
                <w:sz w:val="24"/>
                <w:szCs w:val="24"/>
              </w:rPr>
            </w:pPr>
            <w:r>
              <w:rPr>
                <w:rFonts w:ascii="Arial" w:hAnsi="Arial" w:cs="Arial"/>
                <w:b/>
                <w:sz w:val="24"/>
                <w:szCs w:val="24"/>
              </w:rPr>
              <w:t>Respondent’s details:</w:t>
            </w:r>
          </w:p>
          <w:p w:rsidR="00693D9A" w:rsidRPr="00693D9A" w:rsidRDefault="00693D9A" w:rsidP="00276164">
            <w:pPr>
              <w:contextualSpacing/>
              <w:jc w:val="both"/>
              <w:rPr>
                <w:rFonts w:ascii="Arial" w:hAnsi="Arial" w:cs="Arial"/>
                <w:b/>
                <w:sz w:val="24"/>
                <w:szCs w:val="24"/>
              </w:rPr>
            </w:pPr>
          </w:p>
        </w:tc>
      </w:tr>
      <w:tr w:rsidR="00693D9A" w:rsidTr="00D222FA">
        <w:tc>
          <w:tcPr>
            <w:tcW w:w="9242" w:type="dxa"/>
          </w:tcPr>
          <w:p w:rsidR="00693D9A" w:rsidRPr="00693D9A" w:rsidRDefault="00693D9A" w:rsidP="00276164">
            <w:pPr>
              <w:contextualSpacing/>
              <w:jc w:val="both"/>
              <w:rPr>
                <w:rFonts w:ascii="Arial" w:hAnsi="Arial" w:cs="Arial"/>
                <w:sz w:val="24"/>
                <w:szCs w:val="24"/>
              </w:rPr>
            </w:pPr>
            <w:r w:rsidRPr="00693D9A">
              <w:rPr>
                <w:rFonts w:ascii="Arial" w:hAnsi="Arial" w:cs="Arial"/>
                <w:sz w:val="24"/>
                <w:szCs w:val="24"/>
              </w:rPr>
              <w:t>Name:</w:t>
            </w:r>
          </w:p>
          <w:p w:rsidR="00693D9A" w:rsidRPr="00693D9A" w:rsidRDefault="00693D9A" w:rsidP="00276164">
            <w:pPr>
              <w:contextualSpacing/>
              <w:jc w:val="both"/>
              <w:rPr>
                <w:rFonts w:ascii="Arial" w:hAnsi="Arial" w:cs="Arial"/>
                <w:sz w:val="24"/>
                <w:szCs w:val="24"/>
                <w:u w:val="single"/>
              </w:rPr>
            </w:pPr>
          </w:p>
        </w:tc>
      </w:tr>
      <w:tr w:rsidR="00693D9A" w:rsidTr="00D222FA">
        <w:tc>
          <w:tcPr>
            <w:tcW w:w="9242" w:type="dxa"/>
          </w:tcPr>
          <w:p w:rsidR="00693D9A" w:rsidRPr="00693D9A" w:rsidRDefault="00693D9A" w:rsidP="00276164">
            <w:pPr>
              <w:contextualSpacing/>
              <w:jc w:val="both"/>
              <w:rPr>
                <w:rFonts w:ascii="Arial" w:hAnsi="Arial" w:cs="Arial"/>
                <w:sz w:val="24"/>
                <w:szCs w:val="24"/>
              </w:rPr>
            </w:pPr>
            <w:r w:rsidRPr="00693D9A">
              <w:rPr>
                <w:rFonts w:ascii="Arial" w:hAnsi="Arial" w:cs="Arial"/>
                <w:sz w:val="24"/>
                <w:szCs w:val="24"/>
              </w:rPr>
              <w:t>Address:</w:t>
            </w:r>
          </w:p>
          <w:p w:rsidR="00693D9A" w:rsidRPr="00693D9A" w:rsidRDefault="00693D9A" w:rsidP="00276164">
            <w:pPr>
              <w:contextualSpacing/>
              <w:jc w:val="both"/>
              <w:rPr>
                <w:rFonts w:ascii="Arial" w:hAnsi="Arial" w:cs="Arial"/>
                <w:sz w:val="24"/>
                <w:szCs w:val="24"/>
              </w:rPr>
            </w:pPr>
          </w:p>
        </w:tc>
      </w:tr>
      <w:tr w:rsidR="00693D9A" w:rsidTr="00D222FA">
        <w:tc>
          <w:tcPr>
            <w:tcW w:w="9242" w:type="dxa"/>
          </w:tcPr>
          <w:p w:rsidR="00693D9A" w:rsidRPr="00693D9A" w:rsidRDefault="00693D9A" w:rsidP="00276164">
            <w:pPr>
              <w:contextualSpacing/>
              <w:jc w:val="both"/>
              <w:rPr>
                <w:rFonts w:ascii="Arial" w:hAnsi="Arial" w:cs="Arial"/>
                <w:sz w:val="24"/>
                <w:szCs w:val="24"/>
              </w:rPr>
            </w:pPr>
            <w:r w:rsidRPr="00693D9A">
              <w:rPr>
                <w:rFonts w:ascii="Arial" w:hAnsi="Arial" w:cs="Arial"/>
                <w:sz w:val="24"/>
                <w:szCs w:val="24"/>
              </w:rPr>
              <w:t>Email:</w:t>
            </w:r>
          </w:p>
          <w:p w:rsidR="00693D9A" w:rsidRPr="00693D9A" w:rsidRDefault="00693D9A" w:rsidP="00276164">
            <w:pPr>
              <w:contextualSpacing/>
              <w:jc w:val="both"/>
              <w:rPr>
                <w:rFonts w:ascii="Arial" w:hAnsi="Arial" w:cs="Arial"/>
                <w:sz w:val="24"/>
                <w:szCs w:val="24"/>
              </w:rPr>
            </w:pPr>
          </w:p>
        </w:tc>
      </w:tr>
      <w:tr w:rsidR="00693D9A" w:rsidTr="00D222FA">
        <w:tc>
          <w:tcPr>
            <w:tcW w:w="9242" w:type="dxa"/>
          </w:tcPr>
          <w:p w:rsidR="00693D9A" w:rsidRPr="00693D9A" w:rsidRDefault="00693D9A" w:rsidP="00276164">
            <w:pPr>
              <w:contextualSpacing/>
              <w:jc w:val="both"/>
              <w:rPr>
                <w:rFonts w:ascii="Arial" w:hAnsi="Arial" w:cs="Arial"/>
                <w:sz w:val="24"/>
                <w:szCs w:val="24"/>
              </w:rPr>
            </w:pPr>
            <w:r w:rsidRPr="00693D9A">
              <w:rPr>
                <w:rFonts w:ascii="Arial" w:hAnsi="Arial" w:cs="Arial"/>
                <w:sz w:val="24"/>
                <w:szCs w:val="24"/>
              </w:rPr>
              <w:t>Tel:</w:t>
            </w:r>
          </w:p>
          <w:p w:rsidR="00693D9A" w:rsidRPr="00693D9A" w:rsidRDefault="00693D9A" w:rsidP="00276164">
            <w:pPr>
              <w:contextualSpacing/>
              <w:jc w:val="both"/>
              <w:rPr>
                <w:rFonts w:ascii="Arial" w:hAnsi="Arial" w:cs="Arial"/>
                <w:sz w:val="24"/>
                <w:szCs w:val="24"/>
              </w:rPr>
            </w:pPr>
          </w:p>
        </w:tc>
      </w:tr>
      <w:tr w:rsidR="00693D9A" w:rsidTr="00D222FA">
        <w:tc>
          <w:tcPr>
            <w:tcW w:w="9242" w:type="dxa"/>
          </w:tcPr>
          <w:p w:rsidR="00693D9A" w:rsidRDefault="00693D9A" w:rsidP="00276164">
            <w:pPr>
              <w:contextualSpacing/>
              <w:jc w:val="both"/>
              <w:rPr>
                <w:rFonts w:ascii="Arial" w:hAnsi="Arial" w:cs="Arial"/>
                <w:sz w:val="24"/>
                <w:szCs w:val="24"/>
              </w:rPr>
            </w:pPr>
            <w:r w:rsidRPr="00693D9A">
              <w:rPr>
                <w:rFonts w:ascii="Arial" w:hAnsi="Arial" w:cs="Arial"/>
                <w:sz w:val="24"/>
                <w:szCs w:val="24"/>
              </w:rPr>
              <w:t>Date of submission</w:t>
            </w:r>
            <w:r>
              <w:rPr>
                <w:rFonts w:ascii="Arial" w:hAnsi="Arial" w:cs="Arial"/>
                <w:sz w:val="24"/>
                <w:szCs w:val="24"/>
              </w:rPr>
              <w:t xml:space="preserve"> of consultation response</w:t>
            </w:r>
            <w:r w:rsidRPr="00693D9A">
              <w:rPr>
                <w:rFonts w:ascii="Arial" w:hAnsi="Arial" w:cs="Arial"/>
                <w:sz w:val="24"/>
                <w:szCs w:val="24"/>
              </w:rPr>
              <w:t>:</w:t>
            </w:r>
          </w:p>
          <w:p w:rsidR="00693D9A" w:rsidRPr="00693D9A" w:rsidRDefault="00693D9A" w:rsidP="00276164">
            <w:pPr>
              <w:contextualSpacing/>
              <w:jc w:val="both"/>
              <w:rPr>
                <w:rFonts w:ascii="Arial" w:hAnsi="Arial" w:cs="Arial"/>
                <w:sz w:val="24"/>
                <w:szCs w:val="24"/>
              </w:rPr>
            </w:pPr>
          </w:p>
        </w:tc>
      </w:tr>
    </w:tbl>
    <w:p w:rsidR="00C363BC" w:rsidRDefault="00C363BC" w:rsidP="00276164">
      <w:pPr>
        <w:contextualSpacing/>
        <w:jc w:val="both"/>
        <w:rPr>
          <w:rFonts w:ascii="Arial" w:hAnsi="Arial" w:cs="Arial"/>
          <w:b/>
          <w:sz w:val="24"/>
          <w:szCs w:val="24"/>
          <w:u w:val="single"/>
        </w:rPr>
      </w:pPr>
    </w:p>
    <w:tbl>
      <w:tblPr>
        <w:tblStyle w:val="TableGrid"/>
        <w:tblW w:w="5000" w:type="pct"/>
        <w:tblLook w:val="04A0" w:firstRow="1" w:lastRow="0" w:firstColumn="1" w:lastColumn="0" w:noHBand="0" w:noVBand="1"/>
      </w:tblPr>
      <w:tblGrid>
        <w:gridCol w:w="4621"/>
        <w:gridCol w:w="4621"/>
      </w:tblGrid>
      <w:tr w:rsidR="00C363BC" w:rsidTr="00C363BC">
        <w:tc>
          <w:tcPr>
            <w:tcW w:w="5000" w:type="pct"/>
            <w:gridSpan w:val="2"/>
          </w:tcPr>
          <w:p w:rsidR="00C363BC" w:rsidRPr="00E168EA" w:rsidRDefault="00C363BC" w:rsidP="00C363BC">
            <w:pPr>
              <w:pStyle w:val="ListParagraph"/>
              <w:numPr>
                <w:ilvl w:val="0"/>
                <w:numId w:val="1"/>
              </w:numPr>
              <w:jc w:val="both"/>
              <w:rPr>
                <w:rFonts w:ascii="Arial" w:hAnsi="Arial" w:cs="Arial"/>
                <w:b/>
                <w:sz w:val="24"/>
                <w:szCs w:val="24"/>
              </w:rPr>
            </w:pPr>
            <w:r w:rsidRPr="00E168EA">
              <w:rPr>
                <w:rFonts w:ascii="Arial" w:hAnsi="Arial" w:cs="Arial"/>
                <w:b/>
                <w:sz w:val="24"/>
                <w:szCs w:val="24"/>
              </w:rPr>
              <w:t>Do you consider that the Highland Licensing Board should introduce a supplementary policy statement identifying the special events of local or national significance, in addition to the festive period, for which applications for extended terminal hours will generally be considered favourably?</w:t>
            </w:r>
          </w:p>
          <w:p w:rsidR="00C363BC" w:rsidRPr="00C363BC" w:rsidRDefault="00C363BC" w:rsidP="00C363BC">
            <w:pPr>
              <w:pStyle w:val="ListParagraph"/>
              <w:jc w:val="both"/>
              <w:rPr>
                <w:rFonts w:ascii="Arial" w:hAnsi="Arial" w:cs="Arial"/>
                <w:sz w:val="24"/>
                <w:szCs w:val="24"/>
              </w:rPr>
            </w:pPr>
          </w:p>
        </w:tc>
      </w:tr>
      <w:tr w:rsidR="00A629B0" w:rsidTr="00A629B0">
        <w:tc>
          <w:tcPr>
            <w:tcW w:w="2500" w:type="pct"/>
          </w:tcPr>
          <w:p w:rsidR="00A629B0" w:rsidRDefault="00A629B0" w:rsidP="00A629B0">
            <w:pPr>
              <w:pStyle w:val="ListParagraph"/>
              <w:ind w:left="0"/>
              <w:jc w:val="both"/>
              <w:rPr>
                <w:rFonts w:ascii="Arial" w:hAnsi="Arial" w:cs="Arial"/>
                <w:sz w:val="24"/>
                <w:szCs w:val="24"/>
              </w:rPr>
            </w:pPr>
            <w:r>
              <w:rPr>
                <w:rFonts w:ascii="Arial" w:hAnsi="Arial" w:cs="Arial"/>
                <w:sz w:val="24"/>
                <w:szCs w:val="24"/>
              </w:rPr>
              <w:t>Yes:</w:t>
            </w:r>
          </w:p>
        </w:tc>
        <w:tc>
          <w:tcPr>
            <w:tcW w:w="2500" w:type="pct"/>
          </w:tcPr>
          <w:p w:rsidR="00A629B0" w:rsidRDefault="00A629B0" w:rsidP="00A629B0">
            <w:pPr>
              <w:pStyle w:val="ListParagraph"/>
              <w:ind w:left="0"/>
              <w:jc w:val="both"/>
              <w:rPr>
                <w:rFonts w:ascii="Arial" w:hAnsi="Arial" w:cs="Arial"/>
                <w:sz w:val="24"/>
                <w:szCs w:val="24"/>
              </w:rPr>
            </w:pPr>
            <w:r>
              <w:rPr>
                <w:rFonts w:ascii="Arial" w:hAnsi="Arial" w:cs="Arial"/>
                <w:sz w:val="24"/>
                <w:szCs w:val="24"/>
              </w:rPr>
              <w:t>No:</w:t>
            </w:r>
          </w:p>
        </w:tc>
      </w:tr>
      <w:tr w:rsidR="00C363BC" w:rsidTr="00C363BC">
        <w:tc>
          <w:tcPr>
            <w:tcW w:w="5000" w:type="pct"/>
            <w:gridSpan w:val="2"/>
          </w:tcPr>
          <w:p w:rsidR="00C363BC" w:rsidRPr="00A629B0" w:rsidRDefault="00A629B0" w:rsidP="00276164">
            <w:pPr>
              <w:contextualSpacing/>
              <w:jc w:val="both"/>
              <w:rPr>
                <w:rFonts w:ascii="Arial" w:hAnsi="Arial" w:cs="Arial"/>
                <w:sz w:val="24"/>
                <w:szCs w:val="24"/>
              </w:rPr>
            </w:pPr>
            <w:r>
              <w:rPr>
                <w:rFonts w:ascii="Arial" w:hAnsi="Arial" w:cs="Arial"/>
                <w:sz w:val="24"/>
                <w:szCs w:val="24"/>
              </w:rPr>
              <w:t>Reasons:</w:t>
            </w:r>
          </w:p>
          <w:p w:rsidR="00C363BC" w:rsidRDefault="00C363BC" w:rsidP="00276164">
            <w:pPr>
              <w:contextualSpacing/>
              <w:jc w:val="both"/>
              <w:rPr>
                <w:rFonts w:ascii="Arial" w:hAnsi="Arial" w:cs="Arial"/>
                <w:b/>
                <w:sz w:val="24"/>
                <w:szCs w:val="24"/>
                <w:u w:val="single"/>
              </w:rPr>
            </w:pPr>
          </w:p>
          <w:p w:rsidR="00C363BC" w:rsidRDefault="00C363BC" w:rsidP="00276164">
            <w:pPr>
              <w:contextualSpacing/>
              <w:jc w:val="both"/>
              <w:rPr>
                <w:rFonts w:ascii="Arial" w:hAnsi="Arial" w:cs="Arial"/>
                <w:b/>
                <w:sz w:val="24"/>
                <w:szCs w:val="24"/>
                <w:u w:val="single"/>
              </w:rPr>
            </w:pPr>
          </w:p>
          <w:p w:rsidR="00C363BC" w:rsidRDefault="00C363BC" w:rsidP="00276164">
            <w:pPr>
              <w:contextualSpacing/>
              <w:jc w:val="both"/>
              <w:rPr>
                <w:rFonts w:ascii="Arial" w:hAnsi="Arial" w:cs="Arial"/>
                <w:b/>
                <w:sz w:val="24"/>
                <w:szCs w:val="24"/>
                <w:u w:val="single"/>
              </w:rPr>
            </w:pPr>
          </w:p>
        </w:tc>
      </w:tr>
    </w:tbl>
    <w:p w:rsidR="00C363BC" w:rsidRDefault="00C363BC" w:rsidP="00276164">
      <w:pPr>
        <w:contextualSpacing/>
        <w:jc w:val="both"/>
        <w:rPr>
          <w:rFonts w:ascii="Arial" w:hAnsi="Arial" w:cs="Arial"/>
          <w:b/>
          <w:sz w:val="24"/>
          <w:szCs w:val="24"/>
          <w:u w:val="single"/>
        </w:rPr>
      </w:pPr>
    </w:p>
    <w:tbl>
      <w:tblPr>
        <w:tblStyle w:val="TableGrid"/>
        <w:tblW w:w="5000" w:type="pct"/>
        <w:tblLook w:val="04A0" w:firstRow="1" w:lastRow="0" w:firstColumn="1" w:lastColumn="0" w:noHBand="0" w:noVBand="1"/>
      </w:tblPr>
      <w:tblGrid>
        <w:gridCol w:w="3080"/>
        <w:gridCol w:w="3081"/>
        <w:gridCol w:w="3081"/>
      </w:tblGrid>
      <w:tr w:rsidR="00C363BC" w:rsidTr="00756DCA">
        <w:tc>
          <w:tcPr>
            <w:tcW w:w="5000" w:type="pct"/>
            <w:gridSpan w:val="3"/>
          </w:tcPr>
          <w:p w:rsidR="00C363BC" w:rsidRPr="00E168EA" w:rsidRDefault="00A629B0" w:rsidP="00A629B0">
            <w:pPr>
              <w:pStyle w:val="ListParagraph"/>
              <w:numPr>
                <w:ilvl w:val="0"/>
                <w:numId w:val="1"/>
              </w:numPr>
              <w:jc w:val="both"/>
              <w:rPr>
                <w:rFonts w:ascii="Arial" w:hAnsi="Arial" w:cs="Arial"/>
                <w:b/>
                <w:sz w:val="24"/>
                <w:szCs w:val="24"/>
              </w:rPr>
            </w:pPr>
            <w:r w:rsidRPr="00E168EA">
              <w:rPr>
                <w:rFonts w:ascii="Arial" w:hAnsi="Arial" w:cs="Arial"/>
                <w:b/>
                <w:sz w:val="24"/>
                <w:szCs w:val="24"/>
              </w:rPr>
              <w:t xml:space="preserve">If your answer to Question 1. </w:t>
            </w:r>
            <w:proofErr w:type="gramStart"/>
            <w:r w:rsidRPr="00E168EA">
              <w:rPr>
                <w:rFonts w:ascii="Arial" w:hAnsi="Arial" w:cs="Arial"/>
                <w:b/>
                <w:sz w:val="24"/>
                <w:szCs w:val="24"/>
              </w:rPr>
              <w:t>is</w:t>
            </w:r>
            <w:proofErr w:type="gramEnd"/>
            <w:r w:rsidRPr="00E168EA">
              <w:rPr>
                <w:rFonts w:ascii="Arial" w:hAnsi="Arial" w:cs="Arial"/>
                <w:b/>
                <w:sz w:val="24"/>
                <w:szCs w:val="24"/>
              </w:rPr>
              <w:t xml:space="preserve"> yes, do you consider that the following </w:t>
            </w:r>
            <w:r w:rsidR="00C5580E">
              <w:rPr>
                <w:rFonts w:ascii="Arial" w:hAnsi="Arial" w:cs="Arial"/>
                <w:b/>
                <w:sz w:val="24"/>
                <w:szCs w:val="24"/>
              </w:rPr>
              <w:t xml:space="preserve">are special </w:t>
            </w:r>
            <w:r w:rsidRPr="00E168EA">
              <w:rPr>
                <w:rFonts w:ascii="Arial" w:hAnsi="Arial" w:cs="Arial"/>
                <w:b/>
                <w:sz w:val="24"/>
                <w:szCs w:val="24"/>
              </w:rPr>
              <w:t xml:space="preserve">events of local or national significance </w:t>
            </w:r>
            <w:r w:rsidR="00C5580E">
              <w:rPr>
                <w:rFonts w:ascii="Arial" w:hAnsi="Arial" w:cs="Arial"/>
                <w:b/>
                <w:sz w:val="24"/>
                <w:szCs w:val="24"/>
              </w:rPr>
              <w:t xml:space="preserve">which </w:t>
            </w:r>
            <w:r w:rsidRPr="00E168EA">
              <w:rPr>
                <w:rFonts w:ascii="Arial" w:hAnsi="Arial" w:cs="Arial"/>
                <w:b/>
                <w:sz w:val="24"/>
                <w:szCs w:val="24"/>
              </w:rPr>
              <w:t>should be included?</w:t>
            </w:r>
          </w:p>
          <w:p w:rsidR="00A629B0" w:rsidRPr="00A629B0" w:rsidRDefault="00A629B0" w:rsidP="00A629B0">
            <w:pPr>
              <w:pStyle w:val="ListParagraph"/>
              <w:ind w:left="360"/>
              <w:jc w:val="both"/>
              <w:rPr>
                <w:rFonts w:ascii="Arial" w:hAnsi="Arial" w:cs="Arial"/>
                <w:b/>
                <w:sz w:val="24"/>
                <w:szCs w:val="24"/>
              </w:rPr>
            </w:pPr>
          </w:p>
        </w:tc>
      </w:tr>
      <w:tr w:rsidR="00A629B0" w:rsidTr="00A629B0">
        <w:tc>
          <w:tcPr>
            <w:tcW w:w="1666" w:type="pct"/>
          </w:tcPr>
          <w:p w:rsidR="00A629B0" w:rsidRDefault="00A629B0" w:rsidP="00756DCA">
            <w:pPr>
              <w:contextualSpacing/>
              <w:jc w:val="both"/>
              <w:rPr>
                <w:rFonts w:ascii="Arial" w:hAnsi="Arial" w:cs="Arial"/>
                <w:b/>
                <w:sz w:val="24"/>
                <w:szCs w:val="24"/>
              </w:rPr>
            </w:pPr>
            <w:r w:rsidRPr="00962341">
              <w:rPr>
                <w:rFonts w:ascii="Arial" w:hAnsi="Arial" w:cs="Arial"/>
                <w:b/>
                <w:sz w:val="24"/>
                <w:szCs w:val="24"/>
              </w:rPr>
              <w:t>Easter</w:t>
            </w:r>
            <w:r w:rsidR="00962341">
              <w:rPr>
                <w:rFonts w:ascii="Arial" w:hAnsi="Arial" w:cs="Arial"/>
                <w:b/>
                <w:sz w:val="24"/>
                <w:szCs w:val="24"/>
              </w:rPr>
              <w:t xml:space="preserve"> weekend</w:t>
            </w:r>
          </w:p>
          <w:p w:rsidR="00A84FD0" w:rsidRDefault="00A84FD0" w:rsidP="00756DCA">
            <w:pPr>
              <w:contextualSpacing/>
              <w:jc w:val="both"/>
              <w:rPr>
                <w:rFonts w:ascii="Arial" w:hAnsi="Arial" w:cs="Arial"/>
                <w:sz w:val="24"/>
                <w:szCs w:val="24"/>
              </w:rPr>
            </w:pPr>
            <w:r>
              <w:rPr>
                <w:rFonts w:ascii="Arial" w:hAnsi="Arial" w:cs="Arial"/>
                <w:sz w:val="24"/>
                <w:szCs w:val="24"/>
              </w:rPr>
              <w:t>(Friday and Saturday night)</w:t>
            </w:r>
          </w:p>
          <w:p w:rsidR="00617158" w:rsidRPr="00A84FD0" w:rsidRDefault="00617158" w:rsidP="00756DCA">
            <w:pPr>
              <w:contextualSpacing/>
              <w:jc w:val="both"/>
              <w:rPr>
                <w:rFonts w:ascii="Arial" w:hAnsi="Arial" w:cs="Arial"/>
                <w:sz w:val="24"/>
                <w:szCs w:val="24"/>
              </w:rPr>
            </w:pPr>
          </w:p>
        </w:tc>
        <w:tc>
          <w:tcPr>
            <w:tcW w:w="1667" w:type="pct"/>
          </w:tcPr>
          <w:p w:rsidR="00A629B0" w:rsidRPr="00A629B0" w:rsidRDefault="00962341" w:rsidP="00756DCA">
            <w:pPr>
              <w:contextualSpacing/>
              <w:jc w:val="both"/>
              <w:rPr>
                <w:rFonts w:ascii="Arial" w:hAnsi="Arial" w:cs="Arial"/>
                <w:sz w:val="24"/>
                <w:szCs w:val="24"/>
              </w:rPr>
            </w:pPr>
            <w:r>
              <w:rPr>
                <w:rFonts w:ascii="Arial" w:hAnsi="Arial" w:cs="Arial"/>
                <w:sz w:val="24"/>
                <w:szCs w:val="24"/>
              </w:rPr>
              <w:t>Yes:</w:t>
            </w:r>
          </w:p>
        </w:tc>
        <w:tc>
          <w:tcPr>
            <w:tcW w:w="1667" w:type="pct"/>
          </w:tcPr>
          <w:p w:rsidR="00A629B0" w:rsidRPr="00A629B0" w:rsidRDefault="00962341" w:rsidP="00756DCA">
            <w:pPr>
              <w:contextualSpacing/>
              <w:jc w:val="both"/>
              <w:rPr>
                <w:rFonts w:ascii="Arial" w:hAnsi="Arial" w:cs="Arial"/>
                <w:sz w:val="24"/>
                <w:szCs w:val="24"/>
              </w:rPr>
            </w:pPr>
            <w:r>
              <w:rPr>
                <w:rFonts w:ascii="Arial" w:hAnsi="Arial" w:cs="Arial"/>
                <w:sz w:val="24"/>
                <w:szCs w:val="24"/>
              </w:rPr>
              <w:t>No:</w:t>
            </w:r>
          </w:p>
        </w:tc>
      </w:tr>
      <w:tr w:rsidR="00962341" w:rsidTr="00962341">
        <w:tc>
          <w:tcPr>
            <w:tcW w:w="5000" w:type="pct"/>
            <w:gridSpan w:val="3"/>
          </w:tcPr>
          <w:p w:rsidR="00962341" w:rsidRDefault="00962341" w:rsidP="0020022D">
            <w:pPr>
              <w:contextualSpacing/>
              <w:jc w:val="both"/>
              <w:rPr>
                <w:rFonts w:ascii="Arial" w:hAnsi="Arial" w:cs="Arial"/>
                <w:sz w:val="24"/>
                <w:szCs w:val="24"/>
              </w:rPr>
            </w:pPr>
            <w:r>
              <w:rPr>
                <w:rFonts w:ascii="Arial" w:hAnsi="Arial" w:cs="Arial"/>
                <w:sz w:val="24"/>
                <w:szCs w:val="24"/>
              </w:rPr>
              <w:t>Reasons:</w:t>
            </w:r>
          </w:p>
          <w:p w:rsidR="00962341" w:rsidRDefault="00962341" w:rsidP="0020022D">
            <w:pPr>
              <w:contextualSpacing/>
              <w:jc w:val="both"/>
              <w:rPr>
                <w:rFonts w:ascii="Arial" w:hAnsi="Arial" w:cs="Arial"/>
                <w:sz w:val="24"/>
                <w:szCs w:val="24"/>
              </w:rPr>
            </w:pPr>
          </w:p>
          <w:p w:rsidR="00962341" w:rsidRDefault="00962341" w:rsidP="0020022D">
            <w:pPr>
              <w:contextualSpacing/>
              <w:jc w:val="both"/>
              <w:rPr>
                <w:rFonts w:ascii="Arial" w:hAnsi="Arial" w:cs="Arial"/>
                <w:sz w:val="24"/>
                <w:szCs w:val="24"/>
              </w:rPr>
            </w:pPr>
          </w:p>
          <w:p w:rsidR="00962341" w:rsidRDefault="00962341" w:rsidP="0020022D">
            <w:pPr>
              <w:contextualSpacing/>
              <w:jc w:val="both"/>
              <w:rPr>
                <w:rFonts w:ascii="Arial" w:hAnsi="Arial" w:cs="Arial"/>
                <w:sz w:val="24"/>
                <w:szCs w:val="24"/>
              </w:rPr>
            </w:pPr>
          </w:p>
        </w:tc>
      </w:tr>
      <w:tr w:rsidR="00962341" w:rsidTr="00A629B0">
        <w:tc>
          <w:tcPr>
            <w:tcW w:w="1666" w:type="pct"/>
          </w:tcPr>
          <w:p w:rsidR="00A84FD0" w:rsidRDefault="00A84FD0" w:rsidP="00756DCA">
            <w:pPr>
              <w:contextualSpacing/>
              <w:jc w:val="both"/>
              <w:rPr>
                <w:rFonts w:ascii="Arial" w:hAnsi="Arial" w:cs="Arial"/>
                <w:b/>
                <w:sz w:val="24"/>
                <w:szCs w:val="24"/>
              </w:rPr>
            </w:pPr>
            <w:r>
              <w:rPr>
                <w:rFonts w:ascii="Arial" w:hAnsi="Arial" w:cs="Arial"/>
                <w:b/>
                <w:sz w:val="24"/>
                <w:szCs w:val="24"/>
              </w:rPr>
              <w:t>Halloween</w:t>
            </w:r>
          </w:p>
          <w:p w:rsidR="00962341" w:rsidRDefault="00617158" w:rsidP="00756DCA">
            <w:pPr>
              <w:contextualSpacing/>
              <w:jc w:val="both"/>
              <w:rPr>
                <w:rFonts w:ascii="Arial" w:hAnsi="Arial" w:cs="Arial"/>
                <w:sz w:val="24"/>
                <w:szCs w:val="24"/>
              </w:rPr>
            </w:pPr>
            <w:r>
              <w:rPr>
                <w:rFonts w:ascii="Arial" w:hAnsi="Arial" w:cs="Arial"/>
                <w:sz w:val="24"/>
                <w:szCs w:val="24"/>
              </w:rPr>
              <w:t>(31 October</w:t>
            </w:r>
            <w:r w:rsidR="00962341" w:rsidRPr="00962341">
              <w:rPr>
                <w:rFonts w:ascii="Arial" w:hAnsi="Arial" w:cs="Arial"/>
                <w:sz w:val="24"/>
                <w:szCs w:val="24"/>
              </w:rPr>
              <w:t xml:space="preserve"> and</w:t>
            </w:r>
            <w:r>
              <w:rPr>
                <w:rFonts w:ascii="Arial" w:hAnsi="Arial" w:cs="Arial"/>
                <w:sz w:val="24"/>
                <w:szCs w:val="24"/>
              </w:rPr>
              <w:t xml:space="preserve"> </w:t>
            </w:r>
            <w:r w:rsidR="00A84FD0">
              <w:rPr>
                <w:rFonts w:ascii="Arial" w:hAnsi="Arial" w:cs="Arial"/>
                <w:sz w:val="24"/>
                <w:szCs w:val="24"/>
              </w:rPr>
              <w:t>the Friday and Saturday nights</w:t>
            </w:r>
            <w:r>
              <w:rPr>
                <w:rFonts w:ascii="Arial" w:hAnsi="Arial" w:cs="Arial"/>
                <w:sz w:val="24"/>
                <w:szCs w:val="24"/>
              </w:rPr>
              <w:t xml:space="preserve"> immediately before and after</w:t>
            </w:r>
            <w:r w:rsidR="00A84FD0">
              <w:rPr>
                <w:rFonts w:ascii="Arial" w:hAnsi="Arial" w:cs="Arial"/>
                <w:sz w:val="24"/>
                <w:szCs w:val="24"/>
              </w:rPr>
              <w:t xml:space="preserve"> 31 October</w:t>
            </w:r>
            <w:r w:rsidR="00962341">
              <w:rPr>
                <w:rFonts w:ascii="Arial" w:hAnsi="Arial" w:cs="Arial"/>
                <w:sz w:val="24"/>
                <w:szCs w:val="24"/>
              </w:rPr>
              <w:t>)</w:t>
            </w:r>
          </w:p>
          <w:p w:rsidR="00617158" w:rsidRPr="00962341" w:rsidRDefault="00617158" w:rsidP="00756DCA">
            <w:pPr>
              <w:contextualSpacing/>
              <w:jc w:val="both"/>
              <w:rPr>
                <w:rFonts w:ascii="Arial" w:hAnsi="Arial" w:cs="Arial"/>
                <w:sz w:val="24"/>
                <w:szCs w:val="24"/>
              </w:rPr>
            </w:pPr>
          </w:p>
        </w:tc>
        <w:tc>
          <w:tcPr>
            <w:tcW w:w="1667" w:type="pct"/>
          </w:tcPr>
          <w:p w:rsidR="00962341" w:rsidRDefault="00962341" w:rsidP="00756DCA">
            <w:pPr>
              <w:contextualSpacing/>
              <w:jc w:val="both"/>
              <w:rPr>
                <w:rFonts w:ascii="Arial" w:hAnsi="Arial" w:cs="Arial"/>
                <w:sz w:val="24"/>
                <w:szCs w:val="24"/>
              </w:rPr>
            </w:pPr>
            <w:r>
              <w:rPr>
                <w:rFonts w:ascii="Arial" w:hAnsi="Arial" w:cs="Arial"/>
                <w:sz w:val="24"/>
                <w:szCs w:val="24"/>
              </w:rPr>
              <w:t>Yes:</w:t>
            </w:r>
          </w:p>
        </w:tc>
        <w:tc>
          <w:tcPr>
            <w:tcW w:w="1667" w:type="pct"/>
          </w:tcPr>
          <w:p w:rsidR="00962341" w:rsidRDefault="00962341" w:rsidP="00756DCA">
            <w:pPr>
              <w:contextualSpacing/>
              <w:jc w:val="both"/>
              <w:rPr>
                <w:rFonts w:ascii="Arial" w:hAnsi="Arial" w:cs="Arial"/>
                <w:sz w:val="24"/>
                <w:szCs w:val="24"/>
              </w:rPr>
            </w:pPr>
            <w:r>
              <w:rPr>
                <w:rFonts w:ascii="Arial" w:hAnsi="Arial" w:cs="Arial"/>
                <w:sz w:val="24"/>
                <w:szCs w:val="24"/>
              </w:rPr>
              <w:t>No:</w:t>
            </w:r>
          </w:p>
        </w:tc>
      </w:tr>
      <w:tr w:rsidR="00962341" w:rsidTr="00962341">
        <w:tc>
          <w:tcPr>
            <w:tcW w:w="5000" w:type="pct"/>
            <w:gridSpan w:val="3"/>
          </w:tcPr>
          <w:p w:rsidR="00693D9A" w:rsidRDefault="00962341" w:rsidP="00756DCA">
            <w:pPr>
              <w:contextualSpacing/>
              <w:jc w:val="both"/>
              <w:rPr>
                <w:rFonts w:ascii="Arial" w:hAnsi="Arial" w:cs="Arial"/>
                <w:sz w:val="24"/>
                <w:szCs w:val="24"/>
              </w:rPr>
            </w:pPr>
            <w:r>
              <w:rPr>
                <w:rFonts w:ascii="Arial" w:hAnsi="Arial" w:cs="Arial"/>
                <w:sz w:val="24"/>
                <w:szCs w:val="24"/>
              </w:rPr>
              <w:t>Reasons</w:t>
            </w:r>
            <w:r w:rsidR="00693D9A">
              <w:rPr>
                <w:rFonts w:ascii="Arial" w:hAnsi="Arial" w:cs="Arial"/>
                <w:sz w:val="24"/>
                <w:szCs w:val="24"/>
              </w:rPr>
              <w:t>:</w:t>
            </w:r>
          </w:p>
          <w:p w:rsidR="00962341" w:rsidRDefault="00962341" w:rsidP="00756DCA">
            <w:pPr>
              <w:contextualSpacing/>
              <w:jc w:val="both"/>
              <w:rPr>
                <w:rFonts w:ascii="Arial" w:hAnsi="Arial" w:cs="Arial"/>
                <w:sz w:val="24"/>
                <w:szCs w:val="24"/>
              </w:rPr>
            </w:pPr>
          </w:p>
          <w:p w:rsidR="00962341" w:rsidRDefault="00962341" w:rsidP="00756DCA">
            <w:pPr>
              <w:contextualSpacing/>
              <w:jc w:val="both"/>
              <w:rPr>
                <w:rFonts w:ascii="Arial" w:hAnsi="Arial" w:cs="Arial"/>
                <w:sz w:val="24"/>
                <w:szCs w:val="24"/>
              </w:rPr>
            </w:pPr>
          </w:p>
          <w:p w:rsidR="00962341" w:rsidRDefault="00962341" w:rsidP="00756DCA">
            <w:pPr>
              <w:contextualSpacing/>
              <w:jc w:val="both"/>
              <w:rPr>
                <w:rFonts w:ascii="Arial" w:hAnsi="Arial" w:cs="Arial"/>
                <w:sz w:val="24"/>
                <w:szCs w:val="24"/>
              </w:rPr>
            </w:pPr>
          </w:p>
        </w:tc>
      </w:tr>
      <w:tr w:rsidR="00962341" w:rsidTr="00A629B0">
        <w:tc>
          <w:tcPr>
            <w:tcW w:w="1666" w:type="pct"/>
          </w:tcPr>
          <w:p w:rsidR="00962341" w:rsidRDefault="00962341" w:rsidP="00E168EA">
            <w:pPr>
              <w:contextualSpacing/>
              <w:rPr>
                <w:rFonts w:ascii="Arial" w:hAnsi="Arial" w:cs="Arial"/>
                <w:b/>
                <w:sz w:val="24"/>
                <w:szCs w:val="24"/>
              </w:rPr>
            </w:pPr>
            <w:r>
              <w:rPr>
                <w:rFonts w:ascii="Arial" w:hAnsi="Arial" w:cs="Arial"/>
                <w:b/>
                <w:sz w:val="24"/>
                <w:szCs w:val="24"/>
              </w:rPr>
              <w:lastRenderedPageBreak/>
              <w:t>The 6 day trials, Fort William</w:t>
            </w:r>
          </w:p>
          <w:p w:rsidR="00617158" w:rsidRPr="00962341" w:rsidRDefault="00617158" w:rsidP="00756DCA">
            <w:pPr>
              <w:contextualSpacing/>
              <w:jc w:val="both"/>
              <w:rPr>
                <w:rFonts w:ascii="Arial" w:hAnsi="Arial" w:cs="Arial"/>
                <w:b/>
                <w:sz w:val="24"/>
                <w:szCs w:val="24"/>
              </w:rPr>
            </w:pPr>
          </w:p>
        </w:tc>
        <w:tc>
          <w:tcPr>
            <w:tcW w:w="1667" w:type="pct"/>
          </w:tcPr>
          <w:p w:rsidR="00962341" w:rsidRDefault="00962341" w:rsidP="00756DCA">
            <w:pPr>
              <w:contextualSpacing/>
              <w:jc w:val="both"/>
              <w:rPr>
                <w:rFonts w:ascii="Arial" w:hAnsi="Arial" w:cs="Arial"/>
                <w:sz w:val="24"/>
                <w:szCs w:val="24"/>
              </w:rPr>
            </w:pPr>
            <w:r>
              <w:rPr>
                <w:rFonts w:ascii="Arial" w:hAnsi="Arial" w:cs="Arial"/>
                <w:sz w:val="24"/>
                <w:szCs w:val="24"/>
              </w:rPr>
              <w:t>Yes:</w:t>
            </w:r>
          </w:p>
        </w:tc>
        <w:tc>
          <w:tcPr>
            <w:tcW w:w="1667" w:type="pct"/>
          </w:tcPr>
          <w:p w:rsidR="00962341" w:rsidRDefault="00962341" w:rsidP="00756DCA">
            <w:pPr>
              <w:contextualSpacing/>
              <w:jc w:val="both"/>
              <w:rPr>
                <w:rFonts w:ascii="Arial" w:hAnsi="Arial" w:cs="Arial"/>
                <w:sz w:val="24"/>
                <w:szCs w:val="24"/>
              </w:rPr>
            </w:pPr>
            <w:r>
              <w:rPr>
                <w:rFonts w:ascii="Arial" w:hAnsi="Arial" w:cs="Arial"/>
                <w:sz w:val="24"/>
                <w:szCs w:val="24"/>
              </w:rPr>
              <w:t>No:</w:t>
            </w:r>
          </w:p>
        </w:tc>
      </w:tr>
      <w:tr w:rsidR="00962341" w:rsidTr="00962341">
        <w:tc>
          <w:tcPr>
            <w:tcW w:w="5000" w:type="pct"/>
            <w:gridSpan w:val="3"/>
          </w:tcPr>
          <w:p w:rsidR="00962341" w:rsidRDefault="00A84FD0" w:rsidP="00756DCA">
            <w:pPr>
              <w:contextualSpacing/>
              <w:jc w:val="both"/>
              <w:rPr>
                <w:rFonts w:ascii="Arial" w:hAnsi="Arial" w:cs="Arial"/>
                <w:sz w:val="24"/>
                <w:szCs w:val="24"/>
              </w:rPr>
            </w:pPr>
            <w:r>
              <w:rPr>
                <w:rFonts w:ascii="Arial" w:hAnsi="Arial" w:cs="Arial"/>
                <w:sz w:val="24"/>
                <w:szCs w:val="24"/>
              </w:rPr>
              <w:t>Reasons:</w:t>
            </w:r>
          </w:p>
          <w:p w:rsidR="00A84FD0" w:rsidRDefault="00A84FD0" w:rsidP="00756DCA">
            <w:pPr>
              <w:contextualSpacing/>
              <w:jc w:val="both"/>
              <w:rPr>
                <w:rFonts w:ascii="Arial" w:hAnsi="Arial" w:cs="Arial"/>
                <w:sz w:val="24"/>
                <w:szCs w:val="24"/>
              </w:rPr>
            </w:pPr>
          </w:p>
          <w:p w:rsidR="00A84FD0" w:rsidRDefault="00A84FD0" w:rsidP="00756DCA">
            <w:pPr>
              <w:contextualSpacing/>
              <w:jc w:val="both"/>
              <w:rPr>
                <w:rFonts w:ascii="Arial" w:hAnsi="Arial" w:cs="Arial"/>
                <w:sz w:val="24"/>
                <w:szCs w:val="24"/>
              </w:rPr>
            </w:pPr>
          </w:p>
          <w:p w:rsidR="00A84FD0" w:rsidRDefault="00A84FD0" w:rsidP="00756DCA">
            <w:pPr>
              <w:contextualSpacing/>
              <w:jc w:val="both"/>
              <w:rPr>
                <w:rFonts w:ascii="Arial" w:hAnsi="Arial" w:cs="Arial"/>
                <w:sz w:val="24"/>
                <w:szCs w:val="24"/>
              </w:rPr>
            </w:pPr>
          </w:p>
        </w:tc>
      </w:tr>
      <w:tr w:rsidR="00A84FD0" w:rsidTr="00A84FD0">
        <w:tc>
          <w:tcPr>
            <w:tcW w:w="1666" w:type="pct"/>
          </w:tcPr>
          <w:p w:rsidR="00A84FD0" w:rsidRDefault="00A84FD0" w:rsidP="00E168EA">
            <w:pPr>
              <w:contextualSpacing/>
              <w:rPr>
                <w:rFonts w:ascii="Arial" w:hAnsi="Arial" w:cs="Arial"/>
                <w:b/>
                <w:sz w:val="24"/>
                <w:szCs w:val="24"/>
              </w:rPr>
            </w:pPr>
            <w:r>
              <w:rPr>
                <w:rFonts w:ascii="Arial" w:hAnsi="Arial" w:cs="Arial"/>
                <w:b/>
                <w:sz w:val="24"/>
                <w:szCs w:val="24"/>
              </w:rPr>
              <w:t>The Downhill Bike Championships, Fort William</w:t>
            </w:r>
          </w:p>
          <w:p w:rsidR="00617158" w:rsidRPr="00A84FD0" w:rsidRDefault="00617158" w:rsidP="00756DCA">
            <w:pPr>
              <w:contextualSpacing/>
              <w:jc w:val="both"/>
              <w:rPr>
                <w:rFonts w:ascii="Arial" w:hAnsi="Arial" w:cs="Arial"/>
                <w:b/>
                <w:sz w:val="24"/>
                <w:szCs w:val="24"/>
              </w:rPr>
            </w:pPr>
          </w:p>
        </w:tc>
        <w:tc>
          <w:tcPr>
            <w:tcW w:w="1667" w:type="pct"/>
          </w:tcPr>
          <w:p w:rsidR="00A84FD0" w:rsidRDefault="00A84FD0" w:rsidP="00756DCA">
            <w:pPr>
              <w:contextualSpacing/>
              <w:jc w:val="both"/>
              <w:rPr>
                <w:rFonts w:ascii="Arial" w:hAnsi="Arial" w:cs="Arial"/>
                <w:sz w:val="24"/>
                <w:szCs w:val="24"/>
              </w:rPr>
            </w:pPr>
            <w:r>
              <w:rPr>
                <w:rFonts w:ascii="Arial" w:hAnsi="Arial" w:cs="Arial"/>
                <w:sz w:val="24"/>
                <w:szCs w:val="24"/>
              </w:rPr>
              <w:t>Yes:</w:t>
            </w:r>
          </w:p>
        </w:tc>
        <w:tc>
          <w:tcPr>
            <w:tcW w:w="1667" w:type="pct"/>
          </w:tcPr>
          <w:p w:rsidR="00A84FD0" w:rsidRDefault="00A84FD0" w:rsidP="00756DCA">
            <w:pPr>
              <w:contextualSpacing/>
              <w:jc w:val="both"/>
              <w:rPr>
                <w:rFonts w:ascii="Arial" w:hAnsi="Arial" w:cs="Arial"/>
                <w:sz w:val="24"/>
                <w:szCs w:val="24"/>
              </w:rPr>
            </w:pPr>
            <w:r>
              <w:rPr>
                <w:rFonts w:ascii="Arial" w:hAnsi="Arial" w:cs="Arial"/>
                <w:sz w:val="24"/>
                <w:szCs w:val="24"/>
              </w:rPr>
              <w:t>No:</w:t>
            </w:r>
          </w:p>
        </w:tc>
      </w:tr>
      <w:tr w:rsidR="00A84FD0" w:rsidTr="00962341">
        <w:tc>
          <w:tcPr>
            <w:tcW w:w="5000" w:type="pct"/>
            <w:gridSpan w:val="3"/>
          </w:tcPr>
          <w:p w:rsidR="00A84FD0" w:rsidRDefault="00A84FD0" w:rsidP="00756DCA">
            <w:pPr>
              <w:contextualSpacing/>
              <w:jc w:val="both"/>
              <w:rPr>
                <w:rFonts w:ascii="Arial" w:hAnsi="Arial" w:cs="Arial"/>
                <w:sz w:val="24"/>
                <w:szCs w:val="24"/>
              </w:rPr>
            </w:pPr>
            <w:r>
              <w:rPr>
                <w:rFonts w:ascii="Arial" w:hAnsi="Arial" w:cs="Arial"/>
                <w:sz w:val="24"/>
                <w:szCs w:val="24"/>
              </w:rPr>
              <w:t>Reasons:</w:t>
            </w:r>
          </w:p>
          <w:p w:rsidR="00A84FD0" w:rsidRDefault="00A84FD0" w:rsidP="00756DCA">
            <w:pPr>
              <w:contextualSpacing/>
              <w:jc w:val="both"/>
              <w:rPr>
                <w:rFonts w:ascii="Arial" w:hAnsi="Arial" w:cs="Arial"/>
                <w:sz w:val="24"/>
                <w:szCs w:val="24"/>
              </w:rPr>
            </w:pPr>
          </w:p>
          <w:p w:rsidR="00A84FD0" w:rsidRDefault="00A84FD0" w:rsidP="00756DCA">
            <w:pPr>
              <w:contextualSpacing/>
              <w:jc w:val="both"/>
              <w:rPr>
                <w:rFonts w:ascii="Arial" w:hAnsi="Arial" w:cs="Arial"/>
                <w:sz w:val="24"/>
                <w:szCs w:val="24"/>
              </w:rPr>
            </w:pPr>
          </w:p>
          <w:p w:rsidR="00A84FD0" w:rsidRDefault="00A84FD0" w:rsidP="00756DCA">
            <w:pPr>
              <w:contextualSpacing/>
              <w:jc w:val="both"/>
              <w:rPr>
                <w:rFonts w:ascii="Arial" w:hAnsi="Arial" w:cs="Arial"/>
                <w:sz w:val="24"/>
                <w:szCs w:val="24"/>
              </w:rPr>
            </w:pPr>
          </w:p>
        </w:tc>
      </w:tr>
      <w:tr w:rsidR="00A84FD0" w:rsidTr="00A84FD0">
        <w:tc>
          <w:tcPr>
            <w:tcW w:w="1666" w:type="pct"/>
          </w:tcPr>
          <w:p w:rsidR="00A84FD0" w:rsidRDefault="00A84FD0" w:rsidP="00756DCA">
            <w:pPr>
              <w:contextualSpacing/>
              <w:jc w:val="both"/>
              <w:rPr>
                <w:rFonts w:ascii="Arial" w:hAnsi="Arial" w:cs="Arial"/>
                <w:b/>
                <w:sz w:val="24"/>
                <w:szCs w:val="24"/>
              </w:rPr>
            </w:pPr>
            <w:r>
              <w:rPr>
                <w:rFonts w:ascii="Arial" w:hAnsi="Arial" w:cs="Arial"/>
                <w:b/>
                <w:sz w:val="24"/>
                <w:szCs w:val="24"/>
              </w:rPr>
              <w:t>The National Mod</w:t>
            </w:r>
          </w:p>
          <w:p w:rsidR="00617158" w:rsidRPr="00A84FD0" w:rsidRDefault="00617158" w:rsidP="00756DCA">
            <w:pPr>
              <w:contextualSpacing/>
              <w:jc w:val="both"/>
              <w:rPr>
                <w:rFonts w:ascii="Arial" w:hAnsi="Arial" w:cs="Arial"/>
                <w:b/>
                <w:sz w:val="24"/>
                <w:szCs w:val="24"/>
              </w:rPr>
            </w:pPr>
          </w:p>
        </w:tc>
        <w:tc>
          <w:tcPr>
            <w:tcW w:w="1667" w:type="pct"/>
          </w:tcPr>
          <w:p w:rsidR="00A84FD0" w:rsidRDefault="00A84FD0" w:rsidP="00756DCA">
            <w:pPr>
              <w:contextualSpacing/>
              <w:jc w:val="both"/>
              <w:rPr>
                <w:rFonts w:ascii="Arial" w:hAnsi="Arial" w:cs="Arial"/>
                <w:sz w:val="24"/>
                <w:szCs w:val="24"/>
              </w:rPr>
            </w:pPr>
            <w:r>
              <w:rPr>
                <w:rFonts w:ascii="Arial" w:hAnsi="Arial" w:cs="Arial"/>
                <w:sz w:val="24"/>
                <w:szCs w:val="24"/>
              </w:rPr>
              <w:t>Yes:</w:t>
            </w:r>
          </w:p>
        </w:tc>
        <w:tc>
          <w:tcPr>
            <w:tcW w:w="1667" w:type="pct"/>
          </w:tcPr>
          <w:p w:rsidR="00A84FD0" w:rsidRDefault="00A84FD0" w:rsidP="00756DCA">
            <w:pPr>
              <w:contextualSpacing/>
              <w:jc w:val="both"/>
              <w:rPr>
                <w:rFonts w:ascii="Arial" w:hAnsi="Arial" w:cs="Arial"/>
                <w:sz w:val="24"/>
                <w:szCs w:val="24"/>
              </w:rPr>
            </w:pPr>
            <w:r>
              <w:rPr>
                <w:rFonts w:ascii="Arial" w:hAnsi="Arial" w:cs="Arial"/>
                <w:sz w:val="24"/>
                <w:szCs w:val="24"/>
              </w:rPr>
              <w:t>No:</w:t>
            </w:r>
          </w:p>
        </w:tc>
      </w:tr>
      <w:tr w:rsidR="00A84FD0" w:rsidTr="00962341">
        <w:tc>
          <w:tcPr>
            <w:tcW w:w="5000" w:type="pct"/>
            <w:gridSpan w:val="3"/>
          </w:tcPr>
          <w:p w:rsidR="00A84FD0" w:rsidRDefault="00A84FD0" w:rsidP="00756DCA">
            <w:pPr>
              <w:contextualSpacing/>
              <w:jc w:val="both"/>
              <w:rPr>
                <w:rFonts w:ascii="Arial" w:hAnsi="Arial" w:cs="Arial"/>
                <w:sz w:val="24"/>
                <w:szCs w:val="24"/>
              </w:rPr>
            </w:pPr>
            <w:r>
              <w:rPr>
                <w:rFonts w:ascii="Arial" w:hAnsi="Arial" w:cs="Arial"/>
                <w:sz w:val="24"/>
                <w:szCs w:val="24"/>
              </w:rPr>
              <w:t>Reasons:</w:t>
            </w:r>
          </w:p>
          <w:p w:rsidR="00A84FD0" w:rsidRDefault="00A84FD0" w:rsidP="00756DCA">
            <w:pPr>
              <w:contextualSpacing/>
              <w:jc w:val="both"/>
              <w:rPr>
                <w:rFonts w:ascii="Arial" w:hAnsi="Arial" w:cs="Arial"/>
                <w:sz w:val="24"/>
                <w:szCs w:val="24"/>
              </w:rPr>
            </w:pPr>
          </w:p>
          <w:p w:rsidR="00A84FD0" w:rsidRDefault="00A84FD0" w:rsidP="00756DCA">
            <w:pPr>
              <w:contextualSpacing/>
              <w:jc w:val="both"/>
              <w:rPr>
                <w:rFonts w:ascii="Arial" w:hAnsi="Arial" w:cs="Arial"/>
                <w:sz w:val="24"/>
                <w:szCs w:val="24"/>
              </w:rPr>
            </w:pPr>
          </w:p>
          <w:p w:rsidR="00A84FD0" w:rsidRDefault="00A84FD0" w:rsidP="00756DCA">
            <w:pPr>
              <w:contextualSpacing/>
              <w:jc w:val="both"/>
              <w:rPr>
                <w:rFonts w:ascii="Arial" w:hAnsi="Arial" w:cs="Arial"/>
                <w:sz w:val="24"/>
                <w:szCs w:val="24"/>
              </w:rPr>
            </w:pPr>
          </w:p>
        </w:tc>
      </w:tr>
      <w:tr w:rsidR="00A84FD0" w:rsidTr="00A84FD0">
        <w:tc>
          <w:tcPr>
            <w:tcW w:w="1666" w:type="pct"/>
          </w:tcPr>
          <w:p w:rsidR="00A84FD0" w:rsidRDefault="00A84FD0" w:rsidP="00756DCA">
            <w:pPr>
              <w:contextualSpacing/>
              <w:jc w:val="both"/>
              <w:rPr>
                <w:rFonts w:ascii="Arial" w:hAnsi="Arial" w:cs="Arial"/>
                <w:sz w:val="24"/>
                <w:szCs w:val="24"/>
              </w:rPr>
            </w:pPr>
            <w:r>
              <w:rPr>
                <w:rFonts w:ascii="Arial" w:hAnsi="Arial" w:cs="Arial"/>
                <w:b/>
                <w:sz w:val="24"/>
                <w:szCs w:val="24"/>
              </w:rPr>
              <w:t>Burns Night</w:t>
            </w:r>
          </w:p>
          <w:p w:rsidR="00A84FD0" w:rsidRDefault="00A84FD0" w:rsidP="00617158">
            <w:pPr>
              <w:contextualSpacing/>
              <w:jc w:val="both"/>
              <w:rPr>
                <w:rFonts w:ascii="Arial" w:hAnsi="Arial" w:cs="Arial"/>
                <w:sz w:val="24"/>
                <w:szCs w:val="24"/>
              </w:rPr>
            </w:pPr>
            <w:r>
              <w:rPr>
                <w:rFonts w:ascii="Arial" w:hAnsi="Arial" w:cs="Arial"/>
                <w:sz w:val="24"/>
                <w:szCs w:val="24"/>
              </w:rPr>
              <w:t xml:space="preserve">(25 January and the Friday and Saturday nights </w:t>
            </w:r>
            <w:r w:rsidR="00617158">
              <w:rPr>
                <w:rFonts w:ascii="Arial" w:hAnsi="Arial" w:cs="Arial"/>
                <w:sz w:val="24"/>
                <w:szCs w:val="24"/>
              </w:rPr>
              <w:t>immediately before and after</w:t>
            </w:r>
            <w:r>
              <w:rPr>
                <w:rFonts w:ascii="Arial" w:hAnsi="Arial" w:cs="Arial"/>
                <w:sz w:val="24"/>
                <w:szCs w:val="24"/>
              </w:rPr>
              <w:t xml:space="preserve"> 25 January)</w:t>
            </w:r>
          </w:p>
          <w:p w:rsidR="00617158" w:rsidRPr="00A84FD0" w:rsidRDefault="00617158" w:rsidP="00617158">
            <w:pPr>
              <w:contextualSpacing/>
              <w:jc w:val="both"/>
              <w:rPr>
                <w:rFonts w:ascii="Arial" w:hAnsi="Arial" w:cs="Arial"/>
                <w:sz w:val="24"/>
                <w:szCs w:val="24"/>
              </w:rPr>
            </w:pPr>
          </w:p>
        </w:tc>
        <w:tc>
          <w:tcPr>
            <w:tcW w:w="1667" w:type="pct"/>
          </w:tcPr>
          <w:p w:rsidR="00A84FD0" w:rsidRDefault="00A84FD0" w:rsidP="00756DCA">
            <w:pPr>
              <w:contextualSpacing/>
              <w:jc w:val="both"/>
              <w:rPr>
                <w:rFonts w:ascii="Arial" w:hAnsi="Arial" w:cs="Arial"/>
                <w:sz w:val="24"/>
                <w:szCs w:val="24"/>
              </w:rPr>
            </w:pPr>
            <w:r>
              <w:rPr>
                <w:rFonts w:ascii="Arial" w:hAnsi="Arial" w:cs="Arial"/>
                <w:sz w:val="24"/>
                <w:szCs w:val="24"/>
              </w:rPr>
              <w:t>Yes:</w:t>
            </w:r>
          </w:p>
        </w:tc>
        <w:tc>
          <w:tcPr>
            <w:tcW w:w="1667" w:type="pct"/>
          </w:tcPr>
          <w:p w:rsidR="00A84FD0" w:rsidRDefault="00A84FD0" w:rsidP="00756DCA">
            <w:pPr>
              <w:contextualSpacing/>
              <w:jc w:val="both"/>
              <w:rPr>
                <w:rFonts w:ascii="Arial" w:hAnsi="Arial" w:cs="Arial"/>
                <w:sz w:val="24"/>
                <w:szCs w:val="24"/>
              </w:rPr>
            </w:pPr>
            <w:r>
              <w:rPr>
                <w:rFonts w:ascii="Arial" w:hAnsi="Arial" w:cs="Arial"/>
                <w:sz w:val="24"/>
                <w:szCs w:val="24"/>
              </w:rPr>
              <w:t>No:</w:t>
            </w:r>
          </w:p>
        </w:tc>
      </w:tr>
      <w:tr w:rsidR="00A84FD0" w:rsidTr="00962341">
        <w:tc>
          <w:tcPr>
            <w:tcW w:w="5000" w:type="pct"/>
            <w:gridSpan w:val="3"/>
          </w:tcPr>
          <w:p w:rsidR="00A84FD0" w:rsidRDefault="00A84FD0" w:rsidP="00756DCA">
            <w:pPr>
              <w:contextualSpacing/>
              <w:jc w:val="both"/>
              <w:rPr>
                <w:rFonts w:ascii="Arial" w:hAnsi="Arial" w:cs="Arial"/>
                <w:sz w:val="24"/>
                <w:szCs w:val="24"/>
              </w:rPr>
            </w:pPr>
            <w:r>
              <w:rPr>
                <w:rFonts w:ascii="Arial" w:hAnsi="Arial" w:cs="Arial"/>
                <w:sz w:val="24"/>
                <w:szCs w:val="24"/>
              </w:rPr>
              <w:t>Reasons:</w:t>
            </w:r>
          </w:p>
          <w:p w:rsidR="00A84FD0" w:rsidRDefault="00A84FD0" w:rsidP="00756DCA">
            <w:pPr>
              <w:contextualSpacing/>
              <w:jc w:val="both"/>
              <w:rPr>
                <w:rFonts w:ascii="Arial" w:hAnsi="Arial" w:cs="Arial"/>
                <w:sz w:val="24"/>
                <w:szCs w:val="24"/>
              </w:rPr>
            </w:pPr>
          </w:p>
          <w:p w:rsidR="00A84FD0" w:rsidRDefault="00A84FD0" w:rsidP="00756DCA">
            <w:pPr>
              <w:contextualSpacing/>
              <w:jc w:val="both"/>
              <w:rPr>
                <w:rFonts w:ascii="Arial" w:hAnsi="Arial" w:cs="Arial"/>
                <w:sz w:val="24"/>
                <w:szCs w:val="24"/>
              </w:rPr>
            </w:pPr>
          </w:p>
          <w:p w:rsidR="00A84FD0" w:rsidRDefault="00A84FD0" w:rsidP="00756DCA">
            <w:pPr>
              <w:contextualSpacing/>
              <w:jc w:val="both"/>
              <w:rPr>
                <w:rFonts w:ascii="Arial" w:hAnsi="Arial" w:cs="Arial"/>
                <w:sz w:val="24"/>
                <w:szCs w:val="24"/>
              </w:rPr>
            </w:pPr>
          </w:p>
        </w:tc>
      </w:tr>
      <w:tr w:rsidR="00A84FD0" w:rsidTr="00A84FD0">
        <w:tc>
          <w:tcPr>
            <w:tcW w:w="1666" w:type="pct"/>
          </w:tcPr>
          <w:p w:rsidR="00A84FD0" w:rsidRDefault="00A84FD0" w:rsidP="00756DCA">
            <w:pPr>
              <w:contextualSpacing/>
              <w:jc w:val="both"/>
              <w:rPr>
                <w:rFonts w:ascii="Arial" w:hAnsi="Arial" w:cs="Arial"/>
                <w:b/>
                <w:sz w:val="24"/>
                <w:szCs w:val="24"/>
              </w:rPr>
            </w:pPr>
            <w:r>
              <w:rPr>
                <w:rFonts w:ascii="Arial" w:hAnsi="Arial" w:cs="Arial"/>
                <w:b/>
                <w:sz w:val="24"/>
                <w:szCs w:val="24"/>
              </w:rPr>
              <w:t>St Andrews Night</w:t>
            </w:r>
          </w:p>
          <w:p w:rsidR="00A84FD0" w:rsidRDefault="00A84FD0" w:rsidP="00617158">
            <w:pPr>
              <w:contextualSpacing/>
              <w:jc w:val="both"/>
              <w:rPr>
                <w:rFonts w:ascii="Arial" w:hAnsi="Arial" w:cs="Arial"/>
                <w:sz w:val="24"/>
                <w:szCs w:val="24"/>
              </w:rPr>
            </w:pPr>
            <w:r>
              <w:rPr>
                <w:rFonts w:ascii="Arial" w:hAnsi="Arial" w:cs="Arial"/>
                <w:sz w:val="24"/>
                <w:szCs w:val="24"/>
              </w:rPr>
              <w:t>(30 November and the Friday</w:t>
            </w:r>
            <w:r w:rsidR="00617158">
              <w:rPr>
                <w:rFonts w:ascii="Arial" w:hAnsi="Arial" w:cs="Arial"/>
                <w:sz w:val="24"/>
                <w:szCs w:val="24"/>
              </w:rPr>
              <w:t xml:space="preserve"> and Saturday nights immediately before and after</w:t>
            </w:r>
            <w:r>
              <w:rPr>
                <w:rFonts w:ascii="Arial" w:hAnsi="Arial" w:cs="Arial"/>
                <w:sz w:val="24"/>
                <w:szCs w:val="24"/>
              </w:rPr>
              <w:t xml:space="preserve"> 30 November)</w:t>
            </w:r>
          </w:p>
          <w:p w:rsidR="00617158" w:rsidRPr="00A84FD0" w:rsidRDefault="00617158" w:rsidP="00617158">
            <w:pPr>
              <w:contextualSpacing/>
              <w:jc w:val="both"/>
              <w:rPr>
                <w:rFonts w:ascii="Arial" w:hAnsi="Arial" w:cs="Arial"/>
                <w:sz w:val="24"/>
                <w:szCs w:val="24"/>
              </w:rPr>
            </w:pPr>
          </w:p>
        </w:tc>
        <w:tc>
          <w:tcPr>
            <w:tcW w:w="1667" w:type="pct"/>
          </w:tcPr>
          <w:p w:rsidR="00A84FD0" w:rsidRDefault="00A84FD0" w:rsidP="00756DCA">
            <w:pPr>
              <w:contextualSpacing/>
              <w:jc w:val="both"/>
              <w:rPr>
                <w:rFonts w:ascii="Arial" w:hAnsi="Arial" w:cs="Arial"/>
                <w:sz w:val="24"/>
                <w:szCs w:val="24"/>
              </w:rPr>
            </w:pPr>
            <w:r>
              <w:rPr>
                <w:rFonts w:ascii="Arial" w:hAnsi="Arial" w:cs="Arial"/>
                <w:sz w:val="24"/>
                <w:szCs w:val="24"/>
              </w:rPr>
              <w:t>Yes:</w:t>
            </w:r>
          </w:p>
        </w:tc>
        <w:tc>
          <w:tcPr>
            <w:tcW w:w="1667" w:type="pct"/>
          </w:tcPr>
          <w:p w:rsidR="00A84FD0" w:rsidRDefault="00A84FD0" w:rsidP="00756DCA">
            <w:pPr>
              <w:contextualSpacing/>
              <w:jc w:val="both"/>
              <w:rPr>
                <w:rFonts w:ascii="Arial" w:hAnsi="Arial" w:cs="Arial"/>
                <w:sz w:val="24"/>
                <w:szCs w:val="24"/>
              </w:rPr>
            </w:pPr>
            <w:r>
              <w:rPr>
                <w:rFonts w:ascii="Arial" w:hAnsi="Arial" w:cs="Arial"/>
                <w:sz w:val="24"/>
                <w:szCs w:val="24"/>
              </w:rPr>
              <w:t>No:</w:t>
            </w:r>
          </w:p>
        </w:tc>
      </w:tr>
      <w:tr w:rsidR="00A84FD0" w:rsidTr="00962341">
        <w:tc>
          <w:tcPr>
            <w:tcW w:w="5000" w:type="pct"/>
            <w:gridSpan w:val="3"/>
          </w:tcPr>
          <w:p w:rsidR="00A84FD0" w:rsidRDefault="00617158" w:rsidP="00756DCA">
            <w:pPr>
              <w:contextualSpacing/>
              <w:jc w:val="both"/>
              <w:rPr>
                <w:rFonts w:ascii="Arial" w:hAnsi="Arial" w:cs="Arial"/>
                <w:sz w:val="24"/>
                <w:szCs w:val="24"/>
              </w:rPr>
            </w:pPr>
            <w:r>
              <w:rPr>
                <w:rFonts w:ascii="Arial" w:hAnsi="Arial" w:cs="Arial"/>
                <w:sz w:val="24"/>
                <w:szCs w:val="24"/>
              </w:rPr>
              <w:t>Reasons:</w:t>
            </w:r>
          </w:p>
          <w:p w:rsidR="00617158" w:rsidRDefault="00617158" w:rsidP="00756DCA">
            <w:pPr>
              <w:contextualSpacing/>
              <w:jc w:val="both"/>
              <w:rPr>
                <w:rFonts w:ascii="Arial" w:hAnsi="Arial" w:cs="Arial"/>
                <w:sz w:val="24"/>
                <w:szCs w:val="24"/>
              </w:rPr>
            </w:pPr>
          </w:p>
          <w:p w:rsidR="00617158" w:rsidRDefault="00617158" w:rsidP="00756DCA">
            <w:pPr>
              <w:contextualSpacing/>
              <w:jc w:val="both"/>
              <w:rPr>
                <w:rFonts w:ascii="Arial" w:hAnsi="Arial" w:cs="Arial"/>
                <w:sz w:val="24"/>
                <w:szCs w:val="24"/>
              </w:rPr>
            </w:pPr>
          </w:p>
          <w:p w:rsidR="00617158" w:rsidRDefault="00617158" w:rsidP="00756DCA">
            <w:pPr>
              <w:contextualSpacing/>
              <w:jc w:val="both"/>
              <w:rPr>
                <w:rFonts w:ascii="Arial" w:hAnsi="Arial" w:cs="Arial"/>
                <w:sz w:val="24"/>
                <w:szCs w:val="24"/>
              </w:rPr>
            </w:pPr>
          </w:p>
        </w:tc>
      </w:tr>
      <w:tr w:rsidR="00A84FD0" w:rsidTr="00A84FD0">
        <w:tc>
          <w:tcPr>
            <w:tcW w:w="1666" w:type="pct"/>
          </w:tcPr>
          <w:p w:rsidR="00A84FD0" w:rsidRDefault="001F517D" w:rsidP="00E168EA">
            <w:pPr>
              <w:contextualSpacing/>
              <w:rPr>
                <w:rFonts w:ascii="Arial" w:hAnsi="Arial" w:cs="Arial"/>
                <w:b/>
                <w:sz w:val="24"/>
                <w:szCs w:val="24"/>
              </w:rPr>
            </w:pPr>
            <w:r>
              <w:rPr>
                <w:rFonts w:ascii="Arial" w:hAnsi="Arial" w:cs="Arial"/>
                <w:b/>
                <w:sz w:val="24"/>
                <w:szCs w:val="24"/>
              </w:rPr>
              <w:t>S</w:t>
            </w:r>
            <w:r w:rsidR="00617158">
              <w:rPr>
                <w:rFonts w:ascii="Arial" w:hAnsi="Arial" w:cs="Arial"/>
                <w:b/>
                <w:sz w:val="24"/>
                <w:szCs w:val="24"/>
              </w:rPr>
              <w:t>porting events in Highland</w:t>
            </w:r>
            <w:r>
              <w:rPr>
                <w:rFonts w:ascii="Arial" w:hAnsi="Arial" w:cs="Arial"/>
                <w:b/>
                <w:sz w:val="24"/>
                <w:szCs w:val="24"/>
              </w:rPr>
              <w:t xml:space="preserve"> which the Board considers to be major events</w:t>
            </w:r>
          </w:p>
          <w:p w:rsidR="00617158" w:rsidRPr="00617158" w:rsidRDefault="00617158" w:rsidP="00756DCA">
            <w:pPr>
              <w:contextualSpacing/>
              <w:jc w:val="both"/>
              <w:rPr>
                <w:rFonts w:ascii="Arial" w:hAnsi="Arial" w:cs="Arial"/>
                <w:b/>
                <w:sz w:val="24"/>
                <w:szCs w:val="24"/>
              </w:rPr>
            </w:pPr>
          </w:p>
        </w:tc>
        <w:tc>
          <w:tcPr>
            <w:tcW w:w="1667" w:type="pct"/>
          </w:tcPr>
          <w:p w:rsidR="00A84FD0" w:rsidRDefault="00617158" w:rsidP="00756DCA">
            <w:pPr>
              <w:contextualSpacing/>
              <w:jc w:val="both"/>
              <w:rPr>
                <w:rFonts w:ascii="Arial" w:hAnsi="Arial" w:cs="Arial"/>
                <w:sz w:val="24"/>
                <w:szCs w:val="24"/>
              </w:rPr>
            </w:pPr>
            <w:r>
              <w:rPr>
                <w:rFonts w:ascii="Arial" w:hAnsi="Arial" w:cs="Arial"/>
                <w:sz w:val="24"/>
                <w:szCs w:val="24"/>
              </w:rPr>
              <w:t>Yes:</w:t>
            </w:r>
          </w:p>
        </w:tc>
        <w:tc>
          <w:tcPr>
            <w:tcW w:w="1667" w:type="pct"/>
          </w:tcPr>
          <w:p w:rsidR="00A84FD0" w:rsidRDefault="00617158" w:rsidP="00756DCA">
            <w:pPr>
              <w:contextualSpacing/>
              <w:jc w:val="both"/>
              <w:rPr>
                <w:rFonts w:ascii="Arial" w:hAnsi="Arial" w:cs="Arial"/>
                <w:sz w:val="24"/>
                <w:szCs w:val="24"/>
              </w:rPr>
            </w:pPr>
            <w:r>
              <w:rPr>
                <w:rFonts w:ascii="Arial" w:hAnsi="Arial" w:cs="Arial"/>
                <w:sz w:val="24"/>
                <w:szCs w:val="24"/>
              </w:rPr>
              <w:t>No:</w:t>
            </w:r>
          </w:p>
        </w:tc>
      </w:tr>
      <w:tr w:rsidR="00A84FD0" w:rsidTr="00962341">
        <w:tc>
          <w:tcPr>
            <w:tcW w:w="5000" w:type="pct"/>
            <w:gridSpan w:val="3"/>
          </w:tcPr>
          <w:p w:rsidR="00A84FD0" w:rsidRDefault="00617158" w:rsidP="00756DCA">
            <w:pPr>
              <w:contextualSpacing/>
              <w:jc w:val="both"/>
              <w:rPr>
                <w:rFonts w:ascii="Arial" w:hAnsi="Arial" w:cs="Arial"/>
                <w:sz w:val="24"/>
                <w:szCs w:val="24"/>
              </w:rPr>
            </w:pPr>
            <w:r>
              <w:rPr>
                <w:rFonts w:ascii="Arial" w:hAnsi="Arial" w:cs="Arial"/>
                <w:sz w:val="24"/>
                <w:szCs w:val="24"/>
              </w:rPr>
              <w:t>Reasons:</w:t>
            </w:r>
          </w:p>
          <w:p w:rsidR="00617158" w:rsidRDefault="00617158" w:rsidP="00756DCA">
            <w:pPr>
              <w:contextualSpacing/>
              <w:jc w:val="both"/>
              <w:rPr>
                <w:rFonts w:ascii="Arial" w:hAnsi="Arial" w:cs="Arial"/>
                <w:sz w:val="24"/>
                <w:szCs w:val="24"/>
              </w:rPr>
            </w:pPr>
          </w:p>
          <w:p w:rsidR="00617158" w:rsidRDefault="00617158" w:rsidP="00756DCA">
            <w:pPr>
              <w:contextualSpacing/>
              <w:jc w:val="both"/>
              <w:rPr>
                <w:rFonts w:ascii="Arial" w:hAnsi="Arial" w:cs="Arial"/>
                <w:sz w:val="24"/>
                <w:szCs w:val="24"/>
              </w:rPr>
            </w:pPr>
          </w:p>
          <w:p w:rsidR="00617158" w:rsidRDefault="00617158" w:rsidP="00756DCA">
            <w:pPr>
              <w:contextualSpacing/>
              <w:jc w:val="both"/>
              <w:rPr>
                <w:rFonts w:ascii="Arial" w:hAnsi="Arial" w:cs="Arial"/>
                <w:sz w:val="24"/>
                <w:szCs w:val="24"/>
              </w:rPr>
            </w:pPr>
          </w:p>
        </w:tc>
      </w:tr>
    </w:tbl>
    <w:p w:rsidR="00617158" w:rsidRDefault="00617158" w:rsidP="00276164">
      <w:pPr>
        <w:contextualSpacing/>
        <w:jc w:val="both"/>
        <w:rPr>
          <w:rFonts w:ascii="Arial" w:hAnsi="Arial" w:cs="Arial"/>
          <w:b/>
          <w:sz w:val="24"/>
          <w:szCs w:val="24"/>
          <w:u w:val="single"/>
        </w:rPr>
      </w:pPr>
    </w:p>
    <w:tbl>
      <w:tblPr>
        <w:tblStyle w:val="TableGrid"/>
        <w:tblW w:w="5000" w:type="pct"/>
        <w:tblLook w:val="04A0" w:firstRow="1" w:lastRow="0" w:firstColumn="1" w:lastColumn="0" w:noHBand="0" w:noVBand="1"/>
      </w:tblPr>
      <w:tblGrid>
        <w:gridCol w:w="9242"/>
      </w:tblGrid>
      <w:tr w:rsidR="00C363BC" w:rsidTr="00756DCA">
        <w:tc>
          <w:tcPr>
            <w:tcW w:w="5000" w:type="pct"/>
          </w:tcPr>
          <w:p w:rsidR="00C363BC" w:rsidRDefault="00617158" w:rsidP="00617158">
            <w:pPr>
              <w:pStyle w:val="ListParagraph"/>
              <w:numPr>
                <w:ilvl w:val="0"/>
                <w:numId w:val="1"/>
              </w:numPr>
              <w:jc w:val="both"/>
              <w:rPr>
                <w:rFonts w:ascii="Arial" w:hAnsi="Arial" w:cs="Arial"/>
                <w:b/>
                <w:sz w:val="24"/>
                <w:szCs w:val="24"/>
              </w:rPr>
            </w:pPr>
            <w:r>
              <w:rPr>
                <w:rFonts w:ascii="Arial" w:hAnsi="Arial" w:cs="Arial"/>
                <w:b/>
                <w:sz w:val="24"/>
                <w:szCs w:val="24"/>
              </w:rPr>
              <w:t>What, if any, other special events of local and national significance do you consider should be included</w:t>
            </w:r>
            <w:r w:rsidR="00174FD1">
              <w:rPr>
                <w:rFonts w:ascii="Arial" w:hAnsi="Arial" w:cs="Arial"/>
                <w:b/>
                <w:sz w:val="24"/>
                <w:szCs w:val="24"/>
              </w:rPr>
              <w:t xml:space="preserve"> and why</w:t>
            </w:r>
            <w:r>
              <w:rPr>
                <w:rFonts w:ascii="Arial" w:hAnsi="Arial" w:cs="Arial"/>
                <w:b/>
                <w:sz w:val="24"/>
                <w:szCs w:val="24"/>
              </w:rPr>
              <w:t>?</w:t>
            </w:r>
            <w:r w:rsidR="00963473">
              <w:rPr>
                <w:rFonts w:ascii="Arial" w:hAnsi="Arial" w:cs="Arial"/>
                <w:b/>
                <w:sz w:val="24"/>
                <w:szCs w:val="24"/>
              </w:rPr>
              <w:t xml:space="preserve">  (You can add more comments on this at Box 7 below if you run out of space here)</w:t>
            </w:r>
          </w:p>
          <w:p w:rsidR="00617158" w:rsidRPr="00617158" w:rsidRDefault="00617158" w:rsidP="00617158">
            <w:pPr>
              <w:pStyle w:val="ListParagraph"/>
              <w:ind w:left="360"/>
              <w:jc w:val="both"/>
              <w:rPr>
                <w:rFonts w:ascii="Arial" w:hAnsi="Arial" w:cs="Arial"/>
                <w:b/>
                <w:sz w:val="24"/>
                <w:szCs w:val="24"/>
              </w:rPr>
            </w:pPr>
          </w:p>
        </w:tc>
      </w:tr>
      <w:tr w:rsidR="00C363BC" w:rsidTr="00756DCA">
        <w:tc>
          <w:tcPr>
            <w:tcW w:w="5000" w:type="pct"/>
          </w:tcPr>
          <w:p w:rsidR="00617158" w:rsidRDefault="00617158" w:rsidP="00756DCA">
            <w:pPr>
              <w:contextualSpacing/>
              <w:jc w:val="both"/>
              <w:rPr>
                <w:rFonts w:ascii="Arial" w:hAnsi="Arial" w:cs="Arial"/>
                <w:b/>
                <w:sz w:val="24"/>
                <w:szCs w:val="24"/>
                <w:u w:val="single"/>
              </w:rPr>
            </w:pPr>
          </w:p>
          <w:p w:rsidR="00617158" w:rsidRDefault="00617158" w:rsidP="00756DCA">
            <w:pPr>
              <w:contextualSpacing/>
              <w:jc w:val="both"/>
              <w:rPr>
                <w:rFonts w:ascii="Arial" w:hAnsi="Arial" w:cs="Arial"/>
                <w:b/>
                <w:sz w:val="24"/>
                <w:szCs w:val="24"/>
                <w:u w:val="single"/>
              </w:rPr>
            </w:pPr>
          </w:p>
        </w:tc>
      </w:tr>
      <w:tr w:rsidR="00963473" w:rsidTr="00756DCA">
        <w:tc>
          <w:tcPr>
            <w:tcW w:w="5000" w:type="pct"/>
          </w:tcPr>
          <w:p w:rsidR="00963473" w:rsidRDefault="00963473" w:rsidP="00756DCA">
            <w:pPr>
              <w:contextualSpacing/>
              <w:jc w:val="both"/>
              <w:rPr>
                <w:rFonts w:ascii="Arial" w:hAnsi="Arial" w:cs="Arial"/>
                <w:b/>
                <w:sz w:val="24"/>
                <w:szCs w:val="24"/>
                <w:u w:val="single"/>
              </w:rPr>
            </w:pPr>
          </w:p>
          <w:p w:rsidR="00963473" w:rsidRDefault="00963473" w:rsidP="00756DCA">
            <w:pPr>
              <w:contextualSpacing/>
              <w:jc w:val="both"/>
              <w:rPr>
                <w:rFonts w:ascii="Arial" w:hAnsi="Arial" w:cs="Arial"/>
                <w:b/>
                <w:sz w:val="24"/>
                <w:szCs w:val="24"/>
                <w:u w:val="single"/>
              </w:rPr>
            </w:pPr>
          </w:p>
        </w:tc>
      </w:tr>
      <w:tr w:rsidR="00963473" w:rsidTr="00756DCA">
        <w:tc>
          <w:tcPr>
            <w:tcW w:w="5000" w:type="pct"/>
          </w:tcPr>
          <w:p w:rsidR="00963473" w:rsidRDefault="00963473" w:rsidP="00756DCA">
            <w:pPr>
              <w:contextualSpacing/>
              <w:jc w:val="both"/>
              <w:rPr>
                <w:rFonts w:ascii="Arial" w:hAnsi="Arial" w:cs="Arial"/>
                <w:b/>
                <w:sz w:val="24"/>
                <w:szCs w:val="24"/>
                <w:u w:val="single"/>
              </w:rPr>
            </w:pPr>
          </w:p>
          <w:p w:rsidR="00963473" w:rsidRDefault="00963473" w:rsidP="00756DCA">
            <w:pPr>
              <w:contextualSpacing/>
              <w:jc w:val="both"/>
              <w:rPr>
                <w:rFonts w:ascii="Arial" w:hAnsi="Arial" w:cs="Arial"/>
                <w:b/>
                <w:sz w:val="24"/>
                <w:szCs w:val="24"/>
                <w:u w:val="single"/>
              </w:rPr>
            </w:pPr>
          </w:p>
        </w:tc>
      </w:tr>
      <w:tr w:rsidR="00963473" w:rsidTr="00756DCA">
        <w:tc>
          <w:tcPr>
            <w:tcW w:w="5000" w:type="pct"/>
          </w:tcPr>
          <w:p w:rsidR="00963473" w:rsidRDefault="00963473" w:rsidP="00756DCA">
            <w:pPr>
              <w:contextualSpacing/>
              <w:jc w:val="both"/>
              <w:rPr>
                <w:rFonts w:ascii="Arial" w:hAnsi="Arial" w:cs="Arial"/>
                <w:b/>
                <w:sz w:val="24"/>
                <w:szCs w:val="24"/>
                <w:u w:val="single"/>
              </w:rPr>
            </w:pPr>
          </w:p>
          <w:p w:rsidR="00963473" w:rsidRDefault="00963473" w:rsidP="00756DCA">
            <w:pPr>
              <w:contextualSpacing/>
              <w:jc w:val="both"/>
              <w:rPr>
                <w:rFonts w:ascii="Arial" w:hAnsi="Arial" w:cs="Arial"/>
                <w:b/>
                <w:sz w:val="24"/>
                <w:szCs w:val="24"/>
                <w:u w:val="single"/>
              </w:rPr>
            </w:pPr>
          </w:p>
        </w:tc>
      </w:tr>
      <w:tr w:rsidR="00963473" w:rsidTr="00756DCA">
        <w:tc>
          <w:tcPr>
            <w:tcW w:w="5000" w:type="pct"/>
          </w:tcPr>
          <w:p w:rsidR="00963473" w:rsidRDefault="00963473" w:rsidP="00756DCA">
            <w:pPr>
              <w:contextualSpacing/>
              <w:jc w:val="both"/>
              <w:rPr>
                <w:rFonts w:ascii="Arial" w:hAnsi="Arial" w:cs="Arial"/>
                <w:b/>
                <w:sz w:val="24"/>
                <w:szCs w:val="24"/>
                <w:u w:val="single"/>
              </w:rPr>
            </w:pPr>
          </w:p>
          <w:p w:rsidR="00963473" w:rsidRDefault="00963473" w:rsidP="00756DCA">
            <w:pPr>
              <w:contextualSpacing/>
              <w:jc w:val="both"/>
              <w:rPr>
                <w:rFonts w:ascii="Arial" w:hAnsi="Arial" w:cs="Arial"/>
                <w:b/>
                <w:sz w:val="24"/>
                <w:szCs w:val="24"/>
                <w:u w:val="single"/>
              </w:rPr>
            </w:pPr>
          </w:p>
        </w:tc>
      </w:tr>
    </w:tbl>
    <w:p w:rsidR="00C363BC" w:rsidRDefault="00C363BC" w:rsidP="00276164">
      <w:pPr>
        <w:contextualSpacing/>
        <w:jc w:val="both"/>
        <w:rPr>
          <w:rFonts w:ascii="Arial" w:hAnsi="Arial" w:cs="Arial"/>
          <w:b/>
          <w:sz w:val="24"/>
          <w:szCs w:val="24"/>
          <w:u w:val="single"/>
        </w:rPr>
      </w:pPr>
    </w:p>
    <w:tbl>
      <w:tblPr>
        <w:tblStyle w:val="TableGrid"/>
        <w:tblW w:w="5000" w:type="pct"/>
        <w:tblLook w:val="04A0" w:firstRow="1" w:lastRow="0" w:firstColumn="1" w:lastColumn="0" w:noHBand="0" w:noVBand="1"/>
      </w:tblPr>
      <w:tblGrid>
        <w:gridCol w:w="4619"/>
        <w:gridCol w:w="1540"/>
        <w:gridCol w:w="1540"/>
        <w:gridCol w:w="1543"/>
      </w:tblGrid>
      <w:tr w:rsidR="00C363BC" w:rsidTr="00756DCA">
        <w:tc>
          <w:tcPr>
            <w:tcW w:w="5000" w:type="pct"/>
            <w:gridSpan w:val="4"/>
          </w:tcPr>
          <w:p w:rsidR="00C363BC" w:rsidRDefault="00617158" w:rsidP="00617158">
            <w:pPr>
              <w:pStyle w:val="ListParagraph"/>
              <w:numPr>
                <w:ilvl w:val="0"/>
                <w:numId w:val="1"/>
              </w:numPr>
              <w:jc w:val="both"/>
              <w:rPr>
                <w:rFonts w:ascii="Arial" w:hAnsi="Arial" w:cs="Arial"/>
                <w:b/>
                <w:sz w:val="24"/>
                <w:szCs w:val="24"/>
              </w:rPr>
            </w:pPr>
            <w:r>
              <w:rPr>
                <w:rFonts w:ascii="Arial" w:hAnsi="Arial" w:cs="Arial"/>
                <w:b/>
                <w:sz w:val="24"/>
                <w:szCs w:val="24"/>
              </w:rPr>
              <w:t>Do you agree that the</w:t>
            </w:r>
            <w:r w:rsidR="001F517D">
              <w:rPr>
                <w:rFonts w:ascii="Arial" w:hAnsi="Arial" w:cs="Arial"/>
                <w:b/>
                <w:sz w:val="24"/>
                <w:szCs w:val="24"/>
              </w:rPr>
              <w:t xml:space="preserve"> following</w:t>
            </w:r>
            <w:r>
              <w:rPr>
                <w:rFonts w:ascii="Arial" w:hAnsi="Arial" w:cs="Arial"/>
                <w:b/>
                <w:sz w:val="24"/>
                <w:szCs w:val="24"/>
              </w:rPr>
              <w:t xml:space="preserve"> extended terminal</w:t>
            </w:r>
            <w:r w:rsidR="001F517D">
              <w:rPr>
                <w:rFonts w:ascii="Arial" w:hAnsi="Arial" w:cs="Arial"/>
                <w:b/>
                <w:sz w:val="24"/>
                <w:szCs w:val="24"/>
              </w:rPr>
              <w:t xml:space="preserve"> hours </w:t>
            </w:r>
            <w:r>
              <w:rPr>
                <w:rFonts w:ascii="Arial" w:hAnsi="Arial" w:cs="Arial"/>
                <w:b/>
                <w:sz w:val="24"/>
                <w:szCs w:val="24"/>
              </w:rPr>
              <w:t>should generally be granted</w:t>
            </w:r>
            <w:r w:rsidR="001F517D">
              <w:rPr>
                <w:rFonts w:ascii="Arial" w:hAnsi="Arial" w:cs="Arial"/>
                <w:b/>
                <w:sz w:val="24"/>
                <w:szCs w:val="24"/>
              </w:rPr>
              <w:t xml:space="preserve"> for any special events to be included in </w:t>
            </w:r>
            <w:r w:rsidR="00E168EA">
              <w:rPr>
                <w:rFonts w:ascii="Arial" w:hAnsi="Arial" w:cs="Arial"/>
                <w:b/>
                <w:sz w:val="24"/>
                <w:szCs w:val="24"/>
              </w:rPr>
              <w:t xml:space="preserve">a </w:t>
            </w:r>
            <w:r w:rsidR="001F517D">
              <w:rPr>
                <w:rFonts w:ascii="Arial" w:hAnsi="Arial" w:cs="Arial"/>
                <w:b/>
                <w:sz w:val="24"/>
                <w:szCs w:val="24"/>
              </w:rPr>
              <w:t>supplementary policy:</w:t>
            </w:r>
          </w:p>
          <w:p w:rsidR="001F517D" w:rsidRPr="001F517D" w:rsidRDefault="001F517D" w:rsidP="001F517D">
            <w:pPr>
              <w:jc w:val="both"/>
              <w:rPr>
                <w:rFonts w:ascii="Arial" w:hAnsi="Arial" w:cs="Arial"/>
                <w:b/>
                <w:sz w:val="24"/>
                <w:szCs w:val="24"/>
              </w:rPr>
            </w:pPr>
          </w:p>
        </w:tc>
      </w:tr>
      <w:tr w:rsidR="001F517D" w:rsidTr="001F517D">
        <w:tc>
          <w:tcPr>
            <w:tcW w:w="2499" w:type="pct"/>
          </w:tcPr>
          <w:p w:rsidR="001F517D" w:rsidRDefault="001F517D" w:rsidP="00756DCA">
            <w:pPr>
              <w:contextualSpacing/>
              <w:jc w:val="both"/>
              <w:rPr>
                <w:rFonts w:ascii="Arial" w:hAnsi="Arial" w:cs="Arial"/>
                <w:sz w:val="24"/>
                <w:szCs w:val="24"/>
              </w:rPr>
            </w:pPr>
            <w:r>
              <w:rPr>
                <w:rFonts w:ascii="Arial" w:hAnsi="Arial" w:cs="Arial"/>
                <w:b/>
                <w:sz w:val="24"/>
                <w:szCs w:val="24"/>
              </w:rPr>
              <w:t xml:space="preserve">Late opening premises </w:t>
            </w:r>
            <w:r w:rsidRPr="001F517D">
              <w:rPr>
                <w:rFonts w:ascii="Arial" w:hAnsi="Arial" w:cs="Arial"/>
                <w:sz w:val="24"/>
                <w:szCs w:val="24"/>
              </w:rPr>
              <w:t>(i.e. premises which offer significant entertainment and which are already licensed to open on Thursdays to Saturdays until 0300 hours the following day)</w:t>
            </w:r>
          </w:p>
          <w:p w:rsidR="001F517D" w:rsidRPr="001F517D" w:rsidRDefault="001F517D" w:rsidP="00756DCA">
            <w:pPr>
              <w:contextualSpacing/>
              <w:jc w:val="both"/>
              <w:rPr>
                <w:rFonts w:ascii="Arial" w:hAnsi="Arial" w:cs="Arial"/>
                <w:b/>
                <w:sz w:val="24"/>
                <w:szCs w:val="24"/>
              </w:rPr>
            </w:pPr>
          </w:p>
        </w:tc>
        <w:tc>
          <w:tcPr>
            <w:tcW w:w="833" w:type="pct"/>
          </w:tcPr>
          <w:p w:rsidR="001F517D" w:rsidRPr="001F517D" w:rsidRDefault="001F517D" w:rsidP="00756DCA">
            <w:pPr>
              <w:contextualSpacing/>
              <w:jc w:val="both"/>
              <w:rPr>
                <w:rFonts w:ascii="Arial" w:hAnsi="Arial" w:cs="Arial"/>
                <w:b/>
                <w:sz w:val="24"/>
                <w:szCs w:val="24"/>
              </w:rPr>
            </w:pPr>
            <w:r w:rsidRPr="001F517D">
              <w:rPr>
                <w:rFonts w:ascii="Arial" w:hAnsi="Arial" w:cs="Arial"/>
                <w:b/>
                <w:sz w:val="24"/>
                <w:szCs w:val="24"/>
              </w:rPr>
              <w:t>0400 hours</w:t>
            </w:r>
          </w:p>
        </w:tc>
        <w:tc>
          <w:tcPr>
            <w:tcW w:w="833" w:type="pct"/>
          </w:tcPr>
          <w:p w:rsidR="001F517D" w:rsidRPr="001F517D" w:rsidRDefault="001F517D" w:rsidP="00756DCA">
            <w:pPr>
              <w:contextualSpacing/>
              <w:jc w:val="both"/>
              <w:rPr>
                <w:rFonts w:ascii="Arial" w:hAnsi="Arial" w:cs="Arial"/>
                <w:sz w:val="24"/>
                <w:szCs w:val="24"/>
              </w:rPr>
            </w:pPr>
            <w:r>
              <w:rPr>
                <w:rFonts w:ascii="Arial" w:hAnsi="Arial" w:cs="Arial"/>
                <w:sz w:val="24"/>
                <w:szCs w:val="24"/>
              </w:rPr>
              <w:t>Yes:</w:t>
            </w:r>
          </w:p>
        </w:tc>
        <w:tc>
          <w:tcPr>
            <w:tcW w:w="835" w:type="pct"/>
          </w:tcPr>
          <w:p w:rsidR="001F517D" w:rsidRPr="001F517D" w:rsidRDefault="001F517D" w:rsidP="00756DCA">
            <w:pPr>
              <w:contextualSpacing/>
              <w:jc w:val="both"/>
              <w:rPr>
                <w:rFonts w:ascii="Arial" w:hAnsi="Arial" w:cs="Arial"/>
                <w:sz w:val="24"/>
                <w:szCs w:val="24"/>
              </w:rPr>
            </w:pPr>
            <w:r>
              <w:rPr>
                <w:rFonts w:ascii="Arial" w:hAnsi="Arial" w:cs="Arial"/>
                <w:sz w:val="24"/>
                <w:szCs w:val="24"/>
              </w:rPr>
              <w:t>No:</w:t>
            </w:r>
          </w:p>
        </w:tc>
      </w:tr>
      <w:tr w:rsidR="001F517D" w:rsidTr="001F517D">
        <w:tc>
          <w:tcPr>
            <w:tcW w:w="5000" w:type="pct"/>
            <w:gridSpan w:val="4"/>
          </w:tcPr>
          <w:p w:rsidR="001F517D" w:rsidRDefault="001F517D" w:rsidP="00756DCA">
            <w:pPr>
              <w:contextualSpacing/>
              <w:jc w:val="both"/>
              <w:rPr>
                <w:rFonts w:ascii="Arial" w:hAnsi="Arial" w:cs="Arial"/>
                <w:sz w:val="24"/>
                <w:szCs w:val="24"/>
              </w:rPr>
            </w:pPr>
            <w:r>
              <w:rPr>
                <w:rFonts w:ascii="Arial" w:hAnsi="Arial" w:cs="Arial"/>
                <w:sz w:val="24"/>
                <w:szCs w:val="24"/>
              </w:rPr>
              <w:t>Reasons:</w:t>
            </w:r>
          </w:p>
          <w:p w:rsidR="001F517D" w:rsidRDefault="001F517D" w:rsidP="00756DCA">
            <w:pPr>
              <w:contextualSpacing/>
              <w:jc w:val="both"/>
              <w:rPr>
                <w:rFonts w:ascii="Arial" w:hAnsi="Arial" w:cs="Arial"/>
                <w:sz w:val="24"/>
                <w:szCs w:val="24"/>
              </w:rPr>
            </w:pPr>
          </w:p>
          <w:p w:rsidR="001F517D" w:rsidRDefault="001F517D" w:rsidP="00756DCA">
            <w:pPr>
              <w:contextualSpacing/>
              <w:jc w:val="both"/>
              <w:rPr>
                <w:rFonts w:ascii="Arial" w:hAnsi="Arial" w:cs="Arial"/>
                <w:sz w:val="24"/>
                <w:szCs w:val="24"/>
              </w:rPr>
            </w:pPr>
          </w:p>
        </w:tc>
      </w:tr>
      <w:tr w:rsidR="001F517D" w:rsidTr="001F517D">
        <w:tc>
          <w:tcPr>
            <w:tcW w:w="2499" w:type="pct"/>
          </w:tcPr>
          <w:p w:rsidR="001F517D" w:rsidRDefault="001F517D" w:rsidP="00756DCA">
            <w:pPr>
              <w:contextualSpacing/>
              <w:jc w:val="both"/>
              <w:rPr>
                <w:rFonts w:ascii="Arial" w:hAnsi="Arial" w:cs="Arial"/>
                <w:b/>
                <w:sz w:val="24"/>
                <w:szCs w:val="24"/>
              </w:rPr>
            </w:pPr>
            <w:r>
              <w:rPr>
                <w:rFonts w:ascii="Arial" w:hAnsi="Arial" w:cs="Arial"/>
                <w:b/>
                <w:sz w:val="24"/>
                <w:szCs w:val="24"/>
              </w:rPr>
              <w:t>Other on-sales premises</w:t>
            </w:r>
          </w:p>
          <w:p w:rsidR="001F517D" w:rsidRPr="001F517D" w:rsidRDefault="001F517D" w:rsidP="00756DCA">
            <w:pPr>
              <w:contextualSpacing/>
              <w:jc w:val="both"/>
              <w:rPr>
                <w:rFonts w:ascii="Arial" w:hAnsi="Arial" w:cs="Arial"/>
                <w:b/>
                <w:sz w:val="24"/>
                <w:szCs w:val="24"/>
              </w:rPr>
            </w:pPr>
          </w:p>
        </w:tc>
        <w:tc>
          <w:tcPr>
            <w:tcW w:w="833" w:type="pct"/>
          </w:tcPr>
          <w:p w:rsidR="001F517D" w:rsidRPr="00B54CF0" w:rsidRDefault="00B54CF0" w:rsidP="00756DCA">
            <w:pPr>
              <w:contextualSpacing/>
              <w:jc w:val="both"/>
              <w:rPr>
                <w:rFonts w:ascii="Arial" w:hAnsi="Arial" w:cs="Arial"/>
                <w:b/>
                <w:sz w:val="24"/>
                <w:szCs w:val="24"/>
              </w:rPr>
            </w:pPr>
            <w:r>
              <w:rPr>
                <w:rFonts w:ascii="Arial" w:hAnsi="Arial" w:cs="Arial"/>
                <w:b/>
                <w:sz w:val="24"/>
                <w:szCs w:val="24"/>
              </w:rPr>
              <w:t>0200 hours</w:t>
            </w:r>
          </w:p>
        </w:tc>
        <w:tc>
          <w:tcPr>
            <w:tcW w:w="833" w:type="pct"/>
          </w:tcPr>
          <w:p w:rsidR="001F517D" w:rsidRDefault="00B54CF0" w:rsidP="00756DCA">
            <w:pPr>
              <w:contextualSpacing/>
              <w:jc w:val="both"/>
              <w:rPr>
                <w:rFonts w:ascii="Arial" w:hAnsi="Arial" w:cs="Arial"/>
                <w:sz w:val="24"/>
                <w:szCs w:val="24"/>
              </w:rPr>
            </w:pPr>
            <w:r>
              <w:rPr>
                <w:rFonts w:ascii="Arial" w:hAnsi="Arial" w:cs="Arial"/>
                <w:sz w:val="24"/>
                <w:szCs w:val="24"/>
              </w:rPr>
              <w:t>Yes:</w:t>
            </w:r>
          </w:p>
        </w:tc>
        <w:tc>
          <w:tcPr>
            <w:tcW w:w="835" w:type="pct"/>
          </w:tcPr>
          <w:p w:rsidR="001F517D" w:rsidRDefault="00B54CF0" w:rsidP="00756DCA">
            <w:pPr>
              <w:contextualSpacing/>
              <w:jc w:val="both"/>
              <w:rPr>
                <w:rFonts w:ascii="Arial" w:hAnsi="Arial" w:cs="Arial"/>
                <w:sz w:val="24"/>
                <w:szCs w:val="24"/>
              </w:rPr>
            </w:pPr>
            <w:r>
              <w:rPr>
                <w:rFonts w:ascii="Arial" w:hAnsi="Arial" w:cs="Arial"/>
                <w:sz w:val="24"/>
                <w:szCs w:val="24"/>
              </w:rPr>
              <w:t>No:</w:t>
            </w:r>
          </w:p>
        </w:tc>
      </w:tr>
      <w:tr w:rsidR="001F517D" w:rsidTr="001F517D">
        <w:tc>
          <w:tcPr>
            <w:tcW w:w="5000" w:type="pct"/>
            <w:gridSpan w:val="4"/>
          </w:tcPr>
          <w:p w:rsidR="001F517D" w:rsidRDefault="00B54CF0" w:rsidP="00756DCA">
            <w:pPr>
              <w:contextualSpacing/>
              <w:jc w:val="both"/>
              <w:rPr>
                <w:rFonts w:ascii="Arial" w:hAnsi="Arial" w:cs="Arial"/>
                <w:sz w:val="24"/>
                <w:szCs w:val="24"/>
              </w:rPr>
            </w:pPr>
            <w:r>
              <w:rPr>
                <w:rFonts w:ascii="Arial" w:hAnsi="Arial" w:cs="Arial"/>
                <w:sz w:val="24"/>
                <w:szCs w:val="24"/>
              </w:rPr>
              <w:t>Reasons:</w:t>
            </w:r>
          </w:p>
          <w:p w:rsidR="00B54CF0" w:rsidRDefault="00B54CF0" w:rsidP="00756DCA">
            <w:pPr>
              <w:contextualSpacing/>
              <w:jc w:val="both"/>
              <w:rPr>
                <w:rFonts w:ascii="Arial" w:hAnsi="Arial" w:cs="Arial"/>
                <w:sz w:val="24"/>
                <w:szCs w:val="24"/>
              </w:rPr>
            </w:pPr>
          </w:p>
          <w:p w:rsidR="00B54CF0" w:rsidRDefault="00B54CF0" w:rsidP="00756DCA">
            <w:pPr>
              <w:contextualSpacing/>
              <w:jc w:val="both"/>
              <w:rPr>
                <w:rFonts w:ascii="Arial" w:hAnsi="Arial" w:cs="Arial"/>
                <w:sz w:val="24"/>
                <w:szCs w:val="24"/>
              </w:rPr>
            </w:pPr>
          </w:p>
        </w:tc>
      </w:tr>
    </w:tbl>
    <w:p w:rsidR="00B54CF0" w:rsidRDefault="00B54CF0" w:rsidP="00276164">
      <w:pPr>
        <w:contextualSpacing/>
        <w:jc w:val="both"/>
        <w:rPr>
          <w:rFonts w:ascii="Arial" w:hAnsi="Arial" w:cs="Arial"/>
          <w:b/>
          <w:sz w:val="24"/>
          <w:szCs w:val="24"/>
          <w:u w:val="single"/>
        </w:rPr>
      </w:pPr>
    </w:p>
    <w:tbl>
      <w:tblPr>
        <w:tblStyle w:val="TableGrid"/>
        <w:tblW w:w="5000" w:type="pct"/>
        <w:tblLook w:val="04A0" w:firstRow="1" w:lastRow="0" w:firstColumn="1" w:lastColumn="0" w:noHBand="0" w:noVBand="1"/>
      </w:tblPr>
      <w:tblGrid>
        <w:gridCol w:w="4621"/>
        <w:gridCol w:w="4621"/>
      </w:tblGrid>
      <w:tr w:rsidR="00C363BC" w:rsidTr="00756DCA">
        <w:tc>
          <w:tcPr>
            <w:tcW w:w="5000" w:type="pct"/>
            <w:gridSpan w:val="2"/>
          </w:tcPr>
          <w:p w:rsidR="00694905" w:rsidRDefault="00694905" w:rsidP="00694905">
            <w:pPr>
              <w:pStyle w:val="ListParagraph"/>
              <w:numPr>
                <w:ilvl w:val="0"/>
                <w:numId w:val="1"/>
              </w:numPr>
              <w:jc w:val="both"/>
              <w:rPr>
                <w:rFonts w:ascii="Arial" w:hAnsi="Arial" w:cs="Arial"/>
                <w:b/>
                <w:sz w:val="24"/>
                <w:szCs w:val="24"/>
              </w:rPr>
            </w:pPr>
            <w:r>
              <w:rPr>
                <w:rFonts w:ascii="Arial" w:hAnsi="Arial" w:cs="Arial"/>
                <w:b/>
                <w:sz w:val="24"/>
                <w:szCs w:val="24"/>
              </w:rPr>
              <w:t>For special events of only local significance, should extended terminal hours in terms of any supplementary policy statement be restricted to premises which the Board considers lie within the locality of the event?</w:t>
            </w:r>
          </w:p>
          <w:p w:rsidR="00C363BC" w:rsidRPr="00B54CF0" w:rsidRDefault="00B54CF0" w:rsidP="00694905">
            <w:pPr>
              <w:pStyle w:val="ListParagraph"/>
              <w:ind w:left="360"/>
              <w:jc w:val="both"/>
              <w:rPr>
                <w:rFonts w:ascii="Arial" w:hAnsi="Arial" w:cs="Arial"/>
                <w:b/>
                <w:sz w:val="24"/>
                <w:szCs w:val="24"/>
              </w:rPr>
            </w:pPr>
            <w:r>
              <w:rPr>
                <w:rFonts w:ascii="Arial" w:hAnsi="Arial" w:cs="Arial"/>
                <w:b/>
                <w:sz w:val="24"/>
                <w:szCs w:val="24"/>
              </w:rPr>
              <w:t xml:space="preserve"> </w:t>
            </w:r>
          </w:p>
        </w:tc>
      </w:tr>
      <w:tr w:rsidR="00694905" w:rsidTr="00694905">
        <w:tc>
          <w:tcPr>
            <w:tcW w:w="2500" w:type="pct"/>
          </w:tcPr>
          <w:p w:rsidR="00694905" w:rsidRPr="00694905" w:rsidRDefault="00694905" w:rsidP="00756DCA">
            <w:pPr>
              <w:contextualSpacing/>
              <w:jc w:val="both"/>
              <w:rPr>
                <w:rFonts w:ascii="Arial" w:hAnsi="Arial" w:cs="Arial"/>
                <w:sz w:val="24"/>
                <w:szCs w:val="24"/>
              </w:rPr>
            </w:pPr>
            <w:r>
              <w:rPr>
                <w:rFonts w:ascii="Arial" w:hAnsi="Arial" w:cs="Arial"/>
                <w:sz w:val="24"/>
                <w:szCs w:val="24"/>
              </w:rPr>
              <w:t>Yes:</w:t>
            </w:r>
          </w:p>
        </w:tc>
        <w:tc>
          <w:tcPr>
            <w:tcW w:w="2500" w:type="pct"/>
          </w:tcPr>
          <w:p w:rsidR="00694905" w:rsidRPr="00694905" w:rsidRDefault="00694905" w:rsidP="00756DCA">
            <w:pPr>
              <w:contextualSpacing/>
              <w:jc w:val="both"/>
              <w:rPr>
                <w:rFonts w:ascii="Arial" w:hAnsi="Arial" w:cs="Arial"/>
                <w:sz w:val="24"/>
                <w:szCs w:val="24"/>
              </w:rPr>
            </w:pPr>
            <w:r w:rsidRPr="00694905">
              <w:rPr>
                <w:rFonts w:ascii="Arial" w:hAnsi="Arial" w:cs="Arial"/>
                <w:sz w:val="24"/>
                <w:szCs w:val="24"/>
              </w:rPr>
              <w:t>No:</w:t>
            </w:r>
          </w:p>
          <w:p w:rsidR="00694905" w:rsidRDefault="00694905" w:rsidP="00756DCA">
            <w:pPr>
              <w:contextualSpacing/>
              <w:jc w:val="both"/>
              <w:rPr>
                <w:rFonts w:ascii="Arial" w:hAnsi="Arial" w:cs="Arial"/>
                <w:b/>
                <w:sz w:val="24"/>
                <w:szCs w:val="24"/>
                <w:u w:val="single"/>
              </w:rPr>
            </w:pPr>
          </w:p>
        </w:tc>
      </w:tr>
      <w:tr w:rsidR="00694905" w:rsidTr="00756DCA">
        <w:tc>
          <w:tcPr>
            <w:tcW w:w="5000" w:type="pct"/>
            <w:gridSpan w:val="2"/>
          </w:tcPr>
          <w:p w:rsidR="00694905" w:rsidRDefault="00694905" w:rsidP="00756DCA">
            <w:pPr>
              <w:contextualSpacing/>
              <w:jc w:val="both"/>
              <w:rPr>
                <w:rFonts w:ascii="Arial" w:hAnsi="Arial" w:cs="Arial"/>
                <w:sz w:val="24"/>
                <w:szCs w:val="24"/>
              </w:rPr>
            </w:pPr>
            <w:r>
              <w:rPr>
                <w:rFonts w:ascii="Arial" w:hAnsi="Arial" w:cs="Arial"/>
                <w:sz w:val="24"/>
                <w:szCs w:val="24"/>
              </w:rPr>
              <w:t>Reasons:</w:t>
            </w:r>
          </w:p>
          <w:p w:rsidR="00694905" w:rsidRDefault="00694905" w:rsidP="00756DCA">
            <w:pPr>
              <w:contextualSpacing/>
              <w:jc w:val="both"/>
              <w:rPr>
                <w:rFonts w:ascii="Arial" w:hAnsi="Arial" w:cs="Arial"/>
                <w:sz w:val="24"/>
                <w:szCs w:val="24"/>
              </w:rPr>
            </w:pPr>
          </w:p>
          <w:p w:rsidR="00694905" w:rsidRPr="00694905" w:rsidRDefault="00694905" w:rsidP="00756DCA">
            <w:pPr>
              <w:contextualSpacing/>
              <w:jc w:val="both"/>
              <w:rPr>
                <w:rFonts w:ascii="Arial" w:hAnsi="Arial" w:cs="Arial"/>
                <w:sz w:val="24"/>
                <w:szCs w:val="24"/>
              </w:rPr>
            </w:pPr>
          </w:p>
        </w:tc>
      </w:tr>
    </w:tbl>
    <w:p w:rsidR="00C363BC" w:rsidRDefault="00C363BC" w:rsidP="00276164">
      <w:pPr>
        <w:contextualSpacing/>
        <w:jc w:val="both"/>
        <w:rPr>
          <w:rFonts w:ascii="Arial" w:hAnsi="Arial" w:cs="Arial"/>
          <w:b/>
          <w:sz w:val="24"/>
          <w:szCs w:val="24"/>
          <w:u w:val="single"/>
        </w:rPr>
      </w:pPr>
    </w:p>
    <w:tbl>
      <w:tblPr>
        <w:tblStyle w:val="TableGrid"/>
        <w:tblW w:w="5000" w:type="pct"/>
        <w:tblLook w:val="04A0" w:firstRow="1" w:lastRow="0" w:firstColumn="1" w:lastColumn="0" w:noHBand="0" w:noVBand="1"/>
      </w:tblPr>
      <w:tblGrid>
        <w:gridCol w:w="4621"/>
        <w:gridCol w:w="4621"/>
      </w:tblGrid>
      <w:tr w:rsidR="00C363BC" w:rsidTr="00756DCA">
        <w:tc>
          <w:tcPr>
            <w:tcW w:w="5000" w:type="pct"/>
            <w:gridSpan w:val="2"/>
          </w:tcPr>
          <w:p w:rsidR="00C363BC" w:rsidRDefault="00694905" w:rsidP="00694905">
            <w:pPr>
              <w:pStyle w:val="ListParagraph"/>
              <w:numPr>
                <w:ilvl w:val="0"/>
                <w:numId w:val="1"/>
              </w:numPr>
              <w:jc w:val="both"/>
              <w:rPr>
                <w:rFonts w:ascii="Arial" w:hAnsi="Arial" w:cs="Arial"/>
                <w:b/>
                <w:sz w:val="24"/>
                <w:szCs w:val="24"/>
              </w:rPr>
            </w:pPr>
            <w:r>
              <w:rPr>
                <w:rFonts w:ascii="Arial" w:hAnsi="Arial" w:cs="Arial"/>
                <w:b/>
                <w:sz w:val="24"/>
                <w:szCs w:val="24"/>
              </w:rPr>
              <w:t>Should licence holders be permitted to avoid having to lodge individual applications for extended hours for the special events specified in any supplementary policy statement by varying their operating plan to include a statement that they will open, during those events, for such extended hours as the Board has agreed in its supplementary policy?</w:t>
            </w:r>
          </w:p>
          <w:p w:rsidR="00694905" w:rsidRPr="00694905" w:rsidRDefault="00694905" w:rsidP="00694905">
            <w:pPr>
              <w:pStyle w:val="ListParagraph"/>
              <w:ind w:left="360"/>
              <w:jc w:val="both"/>
              <w:rPr>
                <w:rFonts w:ascii="Arial" w:hAnsi="Arial" w:cs="Arial"/>
                <w:b/>
                <w:sz w:val="24"/>
                <w:szCs w:val="24"/>
              </w:rPr>
            </w:pPr>
          </w:p>
        </w:tc>
      </w:tr>
      <w:tr w:rsidR="00174FD1" w:rsidTr="00174FD1">
        <w:tc>
          <w:tcPr>
            <w:tcW w:w="2500" w:type="pct"/>
          </w:tcPr>
          <w:p w:rsidR="00174FD1" w:rsidRDefault="00174FD1" w:rsidP="00756DCA">
            <w:pPr>
              <w:contextualSpacing/>
              <w:jc w:val="both"/>
              <w:rPr>
                <w:rFonts w:ascii="Arial" w:hAnsi="Arial" w:cs="Arial"/>
                <w:sz w:val="24"/>
                <w:szCs w:val="24"/>
              </w:rPr>
            </w:pPr>
            <w:r>
              <w:rPr>
                <w:rFonts w:ascii="Arial" w:hAnsi="Arial" w:cs="Arial"/>
                <w:sz w:val="24"/>
                <w:szCs w:val="24"/>
              </w:rPr>
              <w:t>Yes:</w:t>
            </w:r>
          </w:p>
          <w:p w:rsidR="00174FD1" w:rsidRPr="00174FD1" w:rsidRDefault="00174FD1" w:rsidP="00756DCA">
            <w:pPr>
              <w:contextualSpacing/>
              <w:jc w:val="both"/>
              <w:rPr>
                <w:rFonts w:ascii="Arial" w:hAnsi="Arial" w:cs="Arial"/>
                <w:sz w:val="24"/>
                <w:szCs w:val="24"/>
              </w:rPr>
            </w:pPr>
          </w:p>
        </w:tc>
        <w:tc>
          <w:tcPr>
            <w:tcW w:w="2500" w:type="pct"/>
          </w:tcPr>
          <w:p w:rsidR="00174FD1" w:rsidRPr="00174FD1" w:rsidRDefault="00174FD1" w:rsidP="00756DCA">
            <w:pPr>
              <w:contextualSpacing/>
              <w:jc w:val="both"/>
              <w:rPr>
                <w:rFonts w:ascii="Arial" w:hAnsi="Arial" w:cs="Arial"/>
                <w:sz w:val="24"/>
                <w:szCs w:val="24"/>
              </w:rPr>
            </w:pPr>
            <w:r>
              <w:rPr>
                <w:rFonts w:ascii="Arial" w:hAnsi="Arial" w:cs="Arial"/>
                <w:sz w:val="24"/>
                <w:szCs w:val="24"/>
              </w:rPr>
              <w:t>No:</w:t>
            </w:r>
          </w:p>
        </w:tc>
      </w:tr>
      <w:tr w:rsidR="00174FD1" w:rsidTr="00756DCA">
        <w:tc>
          <w:tcPr>
            <w:tcW w:w="5000" w:type="pct"/>
            <w:gridSpan w:val="2"/>
          </w:tcPr>
          <w:p w:rsidR="00174FD1" w:rsidRDefault="00174FD1" w:rsidP="00756DCA">
            <w:pPr>
              <w:contextualSpacing/>
              <w:jc w:val="both"/>
              <w:rPr>
                <w:rFonts w:ascii="Arial" w:hAnsi="Arial" w:cs="Arial"/>
                <w:sz w:val="24"/>
                <w:szCs w:val="24"/>
              </w:rPr>
            </w:pPr>
            <w:r>
              <w:rPr>
                <w:rFonts w:ascii="Arial" w:hAnsi="Arial" w:cs="Arial"/>
                <w:sz w:val="24"/>
                <w:szCs w:val="24"/>
              </w:rPr>
              <w:t>Reasons:</w:t>
            </w:r>
          </w:p>
          <w:p w:rsidR="00174FD1" w:rsidRDefault="00174FD1" w:rsidP="00756DCA">
            <w:pPr>
              <w:contextualSpacing/>
              <w:jc w:val="both"/>
              <w:rPr>
                <w:rFonts w:ascii="Arial" w:hAnsi="Arial" w:cs="Arial"/>
                <w:sz w:val="24"/>
                <w:szCs w:val="24"/>
              </w:rPr>
            </w:pPr>
          </w:p>
          <w:p w:rsidR="00174FD1" w:rsidRDefault="00174FD1" w:rsidP="00756DCA">
            <w:pPr>
              <w:contextualSpacing/>
              <w:jc w:val="both"/>
              <w:rPr>
                <w:rFonts w:ascii="Arial" w:hAnsi="Arial" w:cs="Arial"/>
                <w:sz w:val="24"/>
                <w:szCs w:val="24"/>
              </w:rPr>
            </w:pPr>
          </w:p>
          <w:p w:rsidR="00174FD1" w:rsidRPr="00174FD1" w:rsidRDefault="00174FD1" w:rsidP="00756DCA">
            <w:pPr>
              <w:contextualSpacing/>
              <w:jc w:val="both"/>
              <w:rPr>
                <w:rFonts w:ascii="Arial" w:hAnsi="Arial" w:cs="Arial"/>
                <w:sz w:val="24"/>
                <w:szCs w:val="24"/>
              </w:rPr>
            </w:pPr>
          </w:p>
        </w:tc>
      </w:tr>
    </w:tbl>
    <w:p w:rsidR="00C363BC" w:rsidRDefault="00C363BC" w:rsidP="00276164">
      <w:pPr>
        <w:contextualSpacing/>
        <w:jc w:val="both"/>
        <w:rPr>
          <w:rFonts w:ascii="Arial" w:hAnsi="Arial" w:cs="Arial"/>
          <w:b/>
          <w:sz w:val="24"/>
          <w:szCs w:val="24"/>
          <w:u w:val="single"/>
        </w:rPr>
      </w:pPr>
    </w:p>
    <w:tbl>
      <w:tblPr>
        <w:tblStyle w:val="TableGrid"/>
        <w:tblW w:w="5000" w:type="pct"/>
        <w:tblLook w:val="04A0" w:firstRow="1" w:lastRow="0" w:firstColumn="1" w:lastColumn="0" w:noHBand="0" w:noVBand="1"/>
      </w:tblPr>
      <w:tblGrid>
        <w:gridCol w:w="9242"/>
      </w:tblGrid>
      <w:tr w:rsidR="00C363BC" w:rsidTr="00756DCA">
        <w:tc>
          <w:tcPr>
            <w:tcW w:w="5000" w:type="pct"/>
          </w:tcPr>
          <w:p w:rsidR="00C363BC" w:rsidRDefault="00E168EA" w:rsidP="00E168EA">
            <w:pPr>
              <w:pStyle w:val="ListParagraph"/>
              <w:numPr>
                <w:ilvl w:val="0"/>
                <w:numId w:val="1"/>
              </w:numPr>
              <w:jc w:val="both"/>
              <w:rPr>
                <w:rFonts w:ascii="Arial" w:hAnsi="Arial" w:cs="Arial"/>
                <w:b/>
                <w:sz w:val="24"/>
                <w:szCs w:val="24"/>
              </w:rPr>
            </w:pPr>
            <w:r>
              <w:rPr>
                <w:rFonts w:ascii="Arial" w:hAnsi="Arial" w:cs="Arial"/>
                <w:b/>
                <w:sz w:val="24"/>
                <w:szCs w:val="24"/>
              </w:rPr>
              <w:t xml:space="preserve"> Please use the space below to include any other comments you wish the Board to consider in relation to this matter.  Continue on a separate sheet if required.</w:t>
            </w:r>
          </w:p>
          <w:p w:rsidR="00E168EA" w:rsidRPr="00E168EA" w:rsidRDefault="00E168EA" w:rsidP="00E168EA">
            <w:pPr>
              <w:pStyle w:val="ListParagraph"/>
              <w:ind w:left="360"/>
              <w:jc w:val="both"/>
              <w:rPr>
                <w:rFonts w:ascii="Arial" w:hAnsi="Arial" w:cs="Arial"/>
                <w:b/>
                <w:sz w:val="24"/>
                <w:szCs w:val="24"/>
              </w:rPr>
            </w:pPr>
          </w:p>
        </w:tc>
      </w:tr>
      <w:tr w:rsidR="00C363BC" w:rsidTr="00756DCA">
        <w:tc>
          <w:tcPr>
            <w:tcW w:w="5000" w:type="pct"/>
          </w:tcPr>
          <w:p w:rsidR="00C363BC" w:rsidRDefault="00C363BC"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p w:rsidR="00E168EA" w:rsidRDefault="00E168EA" w:rsidP="00756DCA">
            <w:pPr>
              <w:contextualSpacing/>
              <w:jc w:val="both"/>
              <w:rPr>
                <w:rFonts w:ascii="Arial" w:hAnsi="Arial" w:cs="Arial"/>
                <w:b/>
                <w:sz w:val="24"/>
                <w:szCs w:val="24"/>
                <w:u w:val="single"/>
              </w:rPr>
            </w:pPr>
          </w:p>
        </w:tc>
      </w:tr>
    </w:tbl>
    <w:p w:rsidR="00BD3BC5" w:rsidRPr="00BD3BC5" w:rsidRDefault="00BD3BC5" w:rsidP="00276164">
      <w:pPr>
        <w:contextualSpacing/>
        <w:jc w:val="both"/>
        <w:rPr>
          <w:rFonts w:ascii="Arial" w:hAnsi="Arial" w:cs="Arial"/>
          <w:b/>
          <w:sz w:val="24"/>
          <w:szCs w:val="24"/>
          <w:u w:val="single"/>
        </w:rPr>
      </w:pPr>
    </w:p>
    <w:sectPr w:rsidR="00BD3BC5" w:rsidRPr="00BD3BC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F9C" w:rsidRDefault="006E3F9C" w:rsidP="00E168EA">
      <w:pPr>
        <w:spacing w:after="0"/>
      </w:pPr>
      <w:r>
        <w:separator/>
      </w:r>
    </w:p>
  </w:endnote>
  <w:endnote w:type="continuationSeparator" w:id="0">
    <w:p w:rsidR="006E3F9C" w:rsidRDefault="006E3F9C" w:rsidP="00E168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23" w:rsidRDefault="00F435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23" w:rsidRDefault="00F435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23" w:rsidRDefault="00F43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F9C" w:rsidRDefault="006E3F9C" w:rsidP="00E168EA">
      <w:pPr>
        <w:spacing w:after="0"/>
      </w:pPr>
      <w:r>
        <w:separator/>
      </w:r>
    </w:p>
  </w:footnote>
  <w:footnote w:type="continuationSeparator" w:id="0">
    <w:p w:rsidR="006E3F9C" w:rsidRDefault="006E3F9C" w:rsidP="00E168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23" w:rsidRDefault="00F435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8EA" w:rsidRDefault="001B4D38">
    <w:pPr>
      <w:pStyle w:val="Header"/>
      <w:jc w:val="right"/>
    </w:pPr>
    <w:sdt>
      <w:sdtPr>
        <w:id w:val="-419566092"/>
        <w:docPartObj>
          <w:docPartGallery w:val="Page Numbers (Top of Page)"/>
          <w:docPartUnique/>
        </w:docPartObj>
      </w:sdtPr>
      <w:sdtEndPr>
        <w:rPr>
          <w:noProof/>
        </w:rPr>
      </w:sdtEndPr>
      <w:sdtContent>
        <w:r w:rsidR="00E168EA">
          <w:fldChar w:fldCharType="begin"/>
        </w:r>
        <w:r w:rsidR="00E168EA">
          <w:instrText xml:space="preserve"> PAGE   \* MERGEFORMAT </w:instrText>
        </w:r>
        <w:r w:rsidR="00E168EA">
          <w:fldChar w:fldCharType="separate"/>
        </w:r>
        <w:r>
          <w:rPr>
            <w:noProof/>
          </w:rPr>
          <w:t>1</w:t>
        </w:r>
        <w:r w:rsidR="00E168EA">
          <w:rPr>
            <w:noProof/>
          </w:rPr>
          <w:fldChar w:fldCharType="end"/>
        </w:r>
      </w:sdtContent>
    </w:sdt>
  </w:p>
  <w:p w:rsidR="00E168EA" w:rsidRDefault="00E168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23" w:rsidRDefault="00F435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1615E"/>
    <w:multiLevelType w:val="hybridMultilevel"/>
    <w:tmpl w:val="D7E8961E"/>
    <w:lvl w:ilvl="0" w:tplc="E924C51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A41"/>
    <w:rsid w:val="00115E16"/>
    <w:rsid w:val="00174FD1"/>
    <w:rsid w:val="001A7A77"/>
    <w:rsid w:val="001B4D38"/>
    <w:rsid w:val="001F517D"/>
    <w:rsid w:val="00276164"/>
    <w:rsid w:val="00426B34"/>
    <w:rsid w:val="00483DA8"/>
    <w:rsid w:val="00617158"/>
    <w:rsid w:val="00693D9A"/>
    <w:rsid w:val="00694905"/>
    <w:rsid w:val="006E3F9C"/>
    <w:rsid w:val="007440AE"/>
    <w:rsid w:val="008011CF"/>
    <w:rsid w:val="00962341"/>
    <w:rsid w:val="00963473"/>
    <w:rsid w:val="00A629B0"/>
    <w:rsid w:val="00A84FD0"/>
    <w:rsid w:val="00B54CF0"/>
    <w:rsid w:val="00BC3098"/>
    <w:rsid w:val="00BD3BC5"/>
    <w:rsid w:val="00C363BC"/>
    <w:rsid w:val="00C5580E"/>
    <w:rsid w:val="00C9757D"/>
    <w:rsid w:val="00CB6A41"/>
    <w:rsid w:val="00E168EA"/>
    <w:rsid w:val="00E77FBB"/>
    <w:rsid w:val="00F43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BC5"/>
    <w:rPr>
      <w:color w:val="0000FF" w:themeColor="hyperlink"/>
      <w:u w:val="single"/>
    </w:rPr>
  </w:style>
  <w:style w:type="table" w:styleId="TableGrid">
    <w:name w:val="Table Grid"/>
    <w:basedOn w:val="TableNormal"/>
    <w:uiPriority w:val="59"/>
    <w:rsid w:val="00C363B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63BC"/>
    <w:pPr>
      <w:ind w:left="720"/>
      <w:contextualSpacing/>
    </w:pPr>
  </w:style>
  <w:style w:type="paragraph" w:styleId="Header">
    <w:name w:val="header"/>
    <w:basedOn w:val="Normal"/>
    <w:link w:val="HeaderChar"/>
    <w:uiPriority w:val="99"/>
    <w:unhideWhenUsed/>
    <w:rsid w:val="00E168EA"/>
    <w:pPr>
      <w:tabs>
        <w:tab w:val="center" w:pos="4513"/>
        <w:tab w:val="right" w:pos="9026"/>
      </w:tabs>
      <w:spacing w:after="0"/>
    </w:pPr>
  </w:style>
  <w:style w:type="character" w:customStyle="1" w:styleId="HeaderChar">
    <w:name w:val="Header Char"/>
    <w:basedOn w:val="DefaultParagraphFont"/>
    <w:link w:val="Header"/>
    <w:uiPriority w:val="99"/>
    <w:rsid w:val="00E168EA"/>
  </w:style>
  <w:style w:type="paragraph" w:styleId="Footer">
    <w:name w:val="footer"/>
    <w:basedOn w:val="Normal"/>
    <w:link w:val="FooterChar"/>
    <w:uiPriority w:val="99"/>
    <w:unhideWhenUsed/>
    <w:rsid w:val="00E168EA"/>
    <w:pPr>
      <w:tabs>
        <w:tab w:val="center" w:pos="4513"/>
        <w:tab w:val="right" w:pos="9026"/>
      </w:tabs>
      <w:spacing w:after="0"/>
    </w:pPr>
  </w:style>
  <w:style w:type="character" w:customStyle="1" w:styleId="FooterChar">
    <w:name w:val="Footer Char"/>
    <w:basedOn w:val="DefaultParagraphFont"/>
    <w:link w:val="Footer"/>
    <w:uiPriority w:val="99"/>
    <w:rsid w:val="00E168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BC5"/>
    <w:rPr>
      <w:color w:val="0000FF" w:themeColor="hyperlink"/>
      <w:u w:val="single"/>
    </w:rPr>
  </w:style>
  <w:style w:type="table" w:styleId="TableGrid">
    <w:name w:val="Table Grid"/>
    <w:basedOn w:val="TableNormal"/>
    <w:uiPriority w:val="59"/>
    <w:rsid w:val="00C363B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63BC"/>
    <w:pPr>
      <w:ind w:left="720"/>
      <w:contextualSpacing/>
    </w:pPr>
  </w:style>
  <w:style w:type="paragraph" w:styleId="Header">
    <w:name w:val="header"/>
    <w:basedOn w:val="Normal"/>
    <w:link w:val="HeaderChar"/>
    <w:uiPriority w:val="99"/>
    <w:unhideWhenUsed/>
    <w:rsid w:val="00E168EA"/>
    <w:pPr>
      <w:tabs>
        <w:tab w:val="center" w:pos="4513"/>
        <w:tab w:val="right" w:pos="9026"/>
      </w:tabs>
      <w:spacing w:after="0"/>
    </w:pPr>
  </w:style>
  <w:style w:type="character" w:customStyle="1" w:styleId="HeaderChar">
    <w:name w:val="Header Char"/>
    <w:basedOn w:val="DefaultParagraphFont"/>
    <w:link w:val="Header"/>
    <w:uiPriority w:val="99"/>
    <w:rsid w:val="00E168EA"/>
  </w:style>
  <w:style w:type="paragraph" w:styleId="Footer">
    <w:name w:val="footer"/>
    <w:basedOn w:val="Normal"/>
    <w:link w:val="FooterChar"/>
    <w:uiPriority w:val="99"/>
    <w:unhideWhenUsed/>
    <w:rsid w:val="00E168EA"/>
    <w:pPr>
      <w:tabs>
        <w:tab w:val="center" w:pos="4513"/>
        <w:tab w:val="right" w:pos="9026"/>
      </w:tabs>
      <w:spacing w:after="0"/>
    </w:pPr>
  </w:style>
  <w:style w:type="character" w:customStyle="1" w:styleId="FooterChar">
    <w:name w:val="Footer Char"/>
    <w:basedOn w:val="DefaultParagraphFont"/>
    <w:link w:val="Footer"/>
    <w:uiPriority w:val="99"/>
    <w:rsid w:val="00E16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san.blease@highland.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D7D2-39D8-43CF-BFBA-509859CF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825</Words>
  <Characters>4703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Blease</dc:creator>
  <cp:lastModifiedBy>Julie Traynor</cp:lastModifiedBy>
  <cp:revision>2</cp:revision>
  <dcterms:created xsi:type="dcterms:W3CDTF">2015-03-03T15:26:00Z</dcterms:created>
  <dcterms:modified xsi:type="dcterms:W3CDTF">2015-03-03T15:26:00Z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1279521158</vt:i4>
  </property>
  <property fmtid="{D5CDD505-2E9C-101B-9397-08002B2CF9AE}" pid="3" name="_NewReviewCycle">
    <vt:lpwstr/>
  </property>
  <property fmtid="{D5CDD505-2E9C-101B-9397-08002B2CF9AE}" pid="4" name="_EmailSubject">
    <vt:lpwstr>HLB extended hours public consultation</vt:lpwstr>
  </property>
  <property fmtid="{D5CDD505-2E9C-101B-9397-08002B2CF9AE}" pid="5" name="_AuthorEmail">
    <vt:lpwstr>Susan.Blease@highland.gov.uk</vt:lpwstr>
  </property>
  <property fmtid="{D5CDD505-2E9C-101B-9397-08002B2CF9AE}" pid="6" name="_AuthorEmailDisplayName">
    <vt:lpwstr>Susan Blease</vt:lpwstr>
  </property>
  <property fmtid="{D5CDD505-2E9C-101B-9397-08002B2CF9AE}" pid="7" name="_PreviousAdHocReviewCycleID">
    <vt:i4>-246001752</vt:i4>
  </property>
  <property fmtid="{D5CDD505-2E9C-101B-9397-08002B2CF9AE}" pid="8" name="_ReviewingToolsShownOnce">
    <vt:lpwstr/>
  </property>
</Properties>
</file>