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89" w:rsidRDefault="004F1489" w:rsidP="00644613">
      <w:bookmarkStart w:id="0" w:name="_GoBack"/>
      <w:bookmarkEnd w:id="0"/>
    </w:p>
    <w:p w:rsidR="004F1489" w:rsidRDefault="004F1489" w:rsidP="00644613"/>
    <w:p w:rsidR="004F1489" w:rsidRDefault="004F1489" w:rsidP="00644613"/>
    <w:tbl>
      <w:tblPr>
        <w:tblW w:w="0" w:type="auto"/>
        <w:tblLayout w:type="fixed"/>
        <w:tblLook w:val="0000" w:firstRow="0" w:lastRow="0" w:firstColumn="0" w:lastColumn="0" w:noHBand="0" w:noVBand="0"/>
      </w:tblPr>
      <w:tblGrid>
        <w:gridCol w:w="7479"/>
        <w:gridCol w:w="1134"/>
        <w:gridCol w:w="1239"/>
      </w:tblGrid>
      <w:tr w:rsidR="00060B2B" w:rsidRPr="0043501F">
        <w:tc>
          <w:tcPr>
            <w:tcW w:w="7479" w:type="dxa"/>
          </w:tcPr>
          <w:p w:rsidR="001903E6" w:rsidRDefault="00060B2B" w:rsidP="00644613">
            <w:pPr>
              <w:tabs>
                <w:tab w:val="left" w:pos="5016"/>
              </w:tabs>
              <w:jc w:val="center"/>
              <w:rPr>
                <w:rFonts w:ascii="Arial" w:hAnsi="Arial" w:cs="Arial"/>
                <w:b/>
                <w:sz w:val="24"/>
                <w:szCs w:val="24"/>
              </w:rPr>
            </w:pPr>
            <w:smartTag w:uri="urn:schemas-microsoft-com:office:smarttags" w:element="place">
              <w:r w:rsidRPr="000A509D">
                <w:rPr>
                  <w:rFonts w:ascii="Arial" w:hAnsi="Arial" w:cs="Arial"/>
                  <w:b/>
                  <w:sz w:val="24"/>
                  <w:szCs w:val="24"/>
                </w:rPr>
                <w:t>H</w:t>
              </w:r>
              <w:r w:rsidR="002A1A46" w:rsidRPr="000A509D">
                <w:rPr>
                  <w:rFonts w:ascii="Arial" w:hAnsi="Arial" w:cs="Arial"/>
                  <w:b/>
                  <w:sz w:val="24"/>
                  <w:szCs w:val="24"/>
                </w:rPr>
                <w:t>ighland</w:t>
              </w:r>
            </w:smartTag>
            <w:r w:rsidRPr="000A509D">
              <w:rPr>
                <w:rFonts w:ascii="Arial" w:hAnsi="Arial" w:cs="Arial"/>
                <w:b/>
                <w:sz w:val="24"/>
                <w:szCs w:val="24"/>
              </w:rPr>
              <w:t xml:space="preserve"> C</w:t>
            </w:r>
            <w:r w:rsidR="002A1A46" w:rsidRPr="000A509D">
              <w:rPr>
                <w:rFonts w:ascii="Arial" w:hAnsi="Arial" w:cs="Arial"/>
                <w:b/>
                <w:sz w:val="24"/>
                <w:szCs w:val="24"/>
              </w:rPr>
              <w:t>o</w:t>
            </w:r>
            <w:r w:rsidR="000A509D" w:rsidRPr="000A509D">
              <w:rPr>
                <w:rFonts w:ascii="Arial" w:hAnsi="Arial" w:cs="Arial"/>
                <w:b/>
                <w:sz w:val="24"/>
                <w:szCs w:val="24"/>
              </w:rPr>
              <w:t>uncil</w:t>
            </w:r>
          </w:p>
          <w:p w:rsidR="00FA05A5" w:rsidRPr="000A509D" w:rsidRDefault="00FA05A5" w:rsidP="00644613">
            <w:pPr>
              <w:tabs>
                <w:tab w:val="left" w:pos="5016"/>
              </w:tabs>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r w:rsidRPr="0043501F">
              <w:rPr>
                <w:rFonts w:ascii="Arial" w:hAnsi="Arial" w:cs="Arial"/>
                <w:sz w:val="24"/>
                <w:szCs w:val="24"/>
              </w:rPr>
              <w:t>Agenda Item</w:t>
            </w:r>
          </w:p>
        </w:tc>
        <w:tc>
          <w:tcPr>
            <w:tcW w:w="1239"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p>
        </w:tc>
      </w:tr>
      <w:tr w:rsidR="00060B2B" w:rsidRPr="0043501F">
        <w:tc>
          <w:tcPr>
            <w:tcW w:w="7479" w:type="dxa"/>
          </w:tcPr>
          <w:p w:rsidR="00060B2B" w:rsidRPr="0043501F" w:rsidRDefault="00525066" w:rsidP="00303D9A">
            <w:pPr>
              <w:pStyle w:val="Heading1"/>
              <w:jc w:val="center"/>
              <w:rPr>
                <w:rFonts w:ascii="Arial" w:hAnsi="Arial" w:cs="Arial"/>
                <w:szCs w:val="24"/>
              </w:rPr>
            </w:pPr>
            <w:r>
              <w:rPr>
                <w:rFonts w:ascii="Arial" w:hAnsi="Arial" w:cs="Arial"/>
                <w:szCs w:val="24"/>
              </w:rPr>
              <w:t>1</w:t>
            </w:r>
            <w:r w:rsidR="00303D9A">
              <w:rPr>
                <w:rFonts w:ascii="Arial" w:hAnsi="Arial" w:cs="Arial"/>
                <w:szCs w:val="24"/>
              </w:rPr>
              <w:t>0</w:t>
            </w:r>
            <w:r w:rsidR="002B5641">
              <w:rPr>
                <w:rFonts w:ascii="Arial" w:hAnsi="Arial" w:cs="Arial"/>
                <w:szCs w:val="24"/>
              </w:rPr>
              <w:t xml:space="preserve"> March </w:t>
            </w:r>
            <w:r w:rsidR="00F41D79">
              <w:rPr>
                <w:rFonts w:ascii="Arial" w:hAnsi="Arial" w:cs="Arial"/>
                <w:szCs w:val="24"/>
              </w:rPr>
              <w:t>20</w:t>
            </w:r>
            <w:r w:rsidR="00381965">
              <w:rPr>
                <w:rFonts w:ascii="Arial" w:hAnsi="Arial" w:cs="Arial"/>
                <w:szCs w:val="24"/>
              </w:rPr>
              <w:t>1</w:t>
            </w:r>
            <w:r w:rsidR="00303D9A">
              <w:rPr>
                <w:rFonts w:ascii="Arial" w:hAnsi="Arial" w:cs="Arial"/>
                <w:szCs w:val="24"/>
              </w:rPr>
              <w:t>6</w:t>
            </w:r>
          </w:p>
        </w:tc>
        <w:tc>
          <w:tcPr>
            <w:tcW w:w="1134"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r w:rsidRPr="0043501F">
              <w:rPr>
                <w:rFonts w:ascii="Arial" w:hAnsi="Arial" w:cs="Arial"/>
                <w:sz w:val="24"/>
                <w:szCs w:val="24"/>
              </w:rPr>
              <w:t>Report No</w:t>
            </w:r>
          </w:p>
        </w:tc>
        <w:tc>
          <w:tcPr>
            <w:tcW w:w="1239"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p>
        </w:tc>
      </w:tr>
    </w:tbl>
    <w:p w:rsidR="00060B2B" w:rsidRDefault="00060B2B" w:rsidP="00644613">
      <w:pPr>
        <w:jc w:val="center"/>
        <w:rPr>
          <w:rFonts w:ascii="Arial" w:hAnsi="Arial" w:cs="Arial"/>
          <w:sz w:val="24"/>
          <w:szCs w:val="24"/>
        </w:rPr>
      </w:pPr>
    </w:p>
    <w:p w:rsidR="00255FCC" w:rsidRPr="00DC1238" w:rsidRDefault="008B0439" w:rsidP="00E66818">
      <w:pPr>
        <w:jc w:val="center"/>
        <w:rPr>
          <w:rFonts w:ascii="Arial" w:hAnsi="Arial" w:cs="Arial"/>
          <w:b/>
          <w:sz w:val="24"/>
          <w:szCs w:val="24"/>
        </w:rPr>
      </w:pPr>
      <w:r>
        <w:rPr>
          <w:rFonts w:ascii="Arial" w:hAnsi="Arial" w:cs="Arial"/>
          <w:b/>
          <w:sz w:val="24"/>
          <w:szCs w:val="24"/>
        </w:rPr>
        <w:t xml:space="preserve">Local </w:t>
      </w:r>
      <w:r w:rsidR="001C103D">
        <w:rPr>
          <w:rFonts w:ascii="Arial" w:hAnsi="Arial" w:cs="Arial"/>
          <w:b/>
          <w:sz w:val="24"/>
          <w:szCs w:val="24"/>
        </w:rPr>
        <w:t xml:space="preserve">and National </w:t>
      </w:r>
      <w:r w:rsidR="000A0720">
        <w:rPr>
          <w:rFonts w:ascii="Arial" w:hAnsi="Arial" w:cs="Arial"/>
          <w:b/>
          <w:sz w:val="24"/>
          <w:szCs w:val="24"/>
        </w:rPr>
        <w:t xml:space="preserve">Statutory Performance </w:t>
      </w:r>
      <w:r w:rsidR="0059601D">
        <w:rPr>
          <w:rFonts w:ascii="Arial" w:hAnsi="Arial" w:cs="Arial"/>
          <w:b/>
          <w:sz w:val="24"/>
          <w:szCs w:val="24"/>
        </w:rPr>
        <w:t>Indicators</w:t>
      </w:r>
      <w:r>
        <w:rPr>
          <w:rFonts w:ascii="Arial" w:hAnsi="Arial" w:cs="Arial"/>
          <w:b/>
          <w:sz w:val="24"/>
          <w:szCs w:val="24"/>
        </w:rPr>
        <w:t xml:space="preserve"> 201</w:t>
      </w:r>
      <w:r w:rsidR="00303D9A">
        <w:rPr>
          <w:rFonts w:ascii="Arial" w:hAnsi="Arial" w:cs="Arial"/>
          <w:b/>
          <w:sz w:val="24"/>
          <w:szCs w:val="24"/>
        </w:rPr>
        <w:t>4/15</w:t>
      </w:r>
    </w:p>
    <w:p w:rsidR="00060B2B" w:rsidRDefault="00060B2B" w:rsidP="00E66818">
      <w:pPr>
        <w:jc w:val="center"/>
        <w:rPr>
          <w:rFonts w:ascii="Arial" w:hAnsi="Arial" w:cs="Arial"/>
          <w:sz w:val="24"/>
          <w:szCs w:val="24"/>
        </w:rPr>
      </w:pPr>
      <w:r w:rsidRPr="000A509D">
        <w:rPr>
          <w:rFonts w:ascii="Arial" w:hAnsi="Arial" w:cs="Arial"/>
          <w:sz w:val="24"/>
          <w:szCs w:val="24"/>
        </w:rPr>
        <w:t xml:space="preserve">Report by </w:t>
      </w:r>
      <w:r w:rsidR="00255FCC">
        <w:rPr>
          <w:rFonts w:ascii="Arial" w:hAnsi="Arial" w:cs="Arial"/>
          <w:sz w:val="24"/>
          <w:szCs w:val="24"/>
        </w:rPr>
        <w:t>the Chief Executive</w:t>
      </w:r>
    </w:p>
    <w:p w:rsidR="00234751" w:rsidRDefault="00234751" w:rsidP="002B5641">
      <w:pPr>
        <w:rPr>
          <w:rFonts w:ascii="Arial" w:hAnsi="Arial" w:cs="Arial"/>
          <w:sz w:val="24"/>
          <w:szCs w:val="24"/>
        </w:rPr>
      </w:pPr>
    </w:p>
    <w:p w:rsidR="0002628E" w:rsidRDefault="0002628E" w:rsidP="00C26B79">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55FCC" w:rsidRPr="003363E7" w:rsidTr="00A66D29">
        <w:trPr>
          <w:trHeight w:val="1755"/>
        </w:trPr>
        <w:tc>
          <w:tcPr>
            <w:tcW w:w="9781" w:type="dxa"/>
          </w:tcPr>
          <w:p w:rsidR="00255FCC" w:rsidRPr="003363E7" w:rsidRDefault="00255FCC" w:rsidP="00644613">
            <w:pPr>
              <w:rPr>
                <w:rFonts w:ascii="Arial" w:hAnsi="Arial" w:cs="Arial"/>
                <w:b/>
                <w:sz w:val="24"/>
                <w:szCs w:val="24"/>
              </w:rPr>
            </w:pPr>
            <w:r w:rsidRPr="003363E7">
              <w:rPr>
                <w:rFonts w:ascii="Arial" w:hAnsi="Arial" w:cs="Arial"/>
                <w:b/>
                <w:sz w:val="24"/>
                <w:szCs w:val="24"/>
              </w:rPr>
              <w:t>Summary</w:t>
            </w:r>
          </w:p>
          <w:p w:rsidR="00B94538" w:rsidRPr="003363E7" w:rsidRDefault="00A66D29" w:rsidP="008E3082">
            <w:pPr>
              <w:rPr>
                <w:rFonts w:ascii="Arial" w:hAnsi="Arial" w:cs="Arial"/>
                <w:sz w:val="24"/>
                <w:szCs w:val="24"/>
              </w:rPr>
            </w:pPr>
            <w:r>
              <w:rPr>
                <w:rFonts w:ascii="Arial" w:hAnsi="Arial" w:cs="Arial"/>
                <w:sz w:val="24"/>
                <w:szCs w:val="24"/>
              </w:rPr>
              <w:t xml:space="preserve">This report </w:t>
            </w:r>
            <w:r w:rsidR="001C103D">
              <w:rPr>
                <w:rFonts w:ascii="Arial" w:hAnsi="Arial" w:cs="Arial"/>
                <w:sz w:val="24"/>
                <w:szCs w:val="24"/>
              </w:rPr>
              <w:t>provides information on the outcome of local and nationally benchmarked Statutory Performance Indicators for 2014/15. T</w:t>
            </w:r>
            <w:r w:rsidRPr="00897118">
              <w:rPr>
                <w:rFonts w:ascii="Arial" w:hAnsi="Arial" w:cs="Arial"/>
                <w:sz w:val="24"/>
                <w:szCs w:val="24"/>
              </w:rPr>
              <w:t xml:space="preserve">he report shows that </w:t>
            </w:r>
            <w:r w:rsidR="006D5114" w:rsidRPr="00897118">
              <w:rPr>
                <w:rFonts w:ascii="Arial" w:hAnsi="Arial" w:cs="Arial"/>
                <w:sz w:val="24"/>
                <w:szCs w:val="24"/>
              </w:rPr>
              <w:t>the Highland Council has improved performance by 5% or mo</w:t>
            </w:r>
            <w:r w:rsidR="005729D9" w:rsidRPr="00897118">
              <w:rPr>
                <w:rFonts w:ascii="Arial" w:hAnsi="Arial" w:cs="Arial"/>
                <w:sz w:val="24"/>
                <w:szCs w:val="24"/>
              </w:rPr>
              <w:t>re in 201</w:t>
            </w:r>
            <w:r w:rsidR="00303D9A" w:rsidRPr="00897118">
              <w:rPr>
                <w:rFonts w:ascii="Arial" w:hAnsi="Arial" w:cs="Arial"/>
                <w:sz w:val="24"/>
                <w:szCs w:val="24"/>
              </w:rPr>
              <w:t>4/15</w:t>
            </w:r>
            <w:r w:rsidR="00EE5557" w:rsidRPr="00897118">
              <w:rPr>
                <w:rFonts w:ascii="Arial" w:hAnsi="Arial" w:cs="Arial"/>
                <w:sz w:val="24"/>
                <w:szCs w:val="24"/>
              </w:rPr>
              <w:t xml:space="preserve"> on </w:t>
            </w:r>
            <w:r w:rsidR="00186485" w:rsidRPr="00897118">
              <w:rPr>
                <w:rFonts w:ascii="Arial" w:hAnsi="Arial" w:cs="Arial"/>
                <w:sz w:val="24"/>
                <w:szCs w:val="24"/>
              </w:rPr>
              <w:t>5</w:t>
            </w:r>
            <w:r w:rsidR="001A04F4" w:rsidRPr="00897118">
              <w:rPr>
                <w:rFonts w:ascii="Arial" w:hAnsi="Arial" w:cs="Arial"/>
                <w:sz w:val="24"/>
                <w:szCs w:val="24"/>
              </w:rPr>
              <w:t>2</w:t>
            </w:r>
            <w:r w:rsidR="00186485" w:rsidRPr="00897118">
              <w:rPr>
                <w:rFonts w:ascii="Arial" w:hAnsi="Arial" w:cs="Arial"/>
                <w:sz w:val="24"/>
                <w:szCs w:val="24"/>
              </w:rPr>
              <w:t xml:space="preserve"> indicators; 3</w:t>
            </w:r>
            <w:r w:rsidR="001A04F4" w:rsidRPr="00897118">
              <w:rPr>
                <w:rFonts w:ascii="Arial" w:hAnsi="Arial" w:cs="Arial"/>
                <w:sz w:val="24"/>
                <w:szCs w:val="24"/>
              </w:rPr>
              <w:t>2</w:t>
            </w:r>
            <w:r w:rsidR="006D5114" w:rsidRPr="00897118">
              <w:rPr>
                <w:rFonts w:ascii="Arial" w:hAnsi="Arial" w:cs="Arial"/>
                <w:sz w:val="24"/>
                <w:szCs w:val="24"/>
              </w:rPr>
              <w:t xml:space="preserve"> indicators show</w:t>
            </w:r>
            <w:r w:rsidR="005729D9" w:rsidRPr="00897118">
              <w:rPr>
                <w:rFonts w:ascii="Arial" w:hAnsi="Arial" w:cs="Arial"/>
                <w:sz w:val="24"/>
                <w:szCs w:val="24"/>
              </w:rPr>
              <w:t xml:space="preserve"> a decline</w:t>
            </w:r>
            <w:r w:rsidR="00790BAC" w:rsidRPr="00897118">
              <w:rPr>
                <w:rFonts w:ascii="Arial" w:hAnsi="Arial" w:cs="Arial"/>
                <w:sz w:val="24"/>
                <w:szCs w:val="24"/>
              </w:rPr>
              <w:t xml:space="preserve"> o</w:t>
            </w:r>
            <w:r w:rsidR="0018317C" w:rsidRPr="00897118">
              <w:rPr>
                <w:rFonts w:ascii="Arial" w:hAnsi="Arial" w:cs="Arial"/>
                <w:sz w:val="24"/>
                <w:szCs w:val="24"/>
              </w:rPr>
              <w:t>f 5% or more.  T</w:t>
            </w:r>
            <w:r w:rsidR="00F56909" w:rsidRPr="00897118">
              <w:rPr>
                <w:rFonts w:ascii="Arial" w:hAnsi="Arial" w:cs="Arial"/>
                <w:sz w:val="24"/>
                <w:szCs w:val="24"/>
              </w:rPr>
              <w:t xml:space="preserve">here were </w:t>
            </w:r>
            <w:r w:rsidR="00186485" w:rsidRPr="00897118">
              <w:rPr>
                <w:rFonts w:ascii="Arial" w:hAnsi="Arial" w:cs="Arial"/>
                <w:sz w:val="24"/>
                <w:szCs w:val="24"/>
              </w:rPr>
              <w:t>58</w:t>
            </w:r>
            <w:r w:rsidR="001324B6" w:rsidRPr="00897118">
              <w:rPr>
                <w:rFonts w:ascii="Arial" w:hAnsi="Arial" w:cs="Arial"/>
                <w:sz w:val="24"/>
                <w:szCs w:val="24"/>
              </w:rPr>
              <w:t xml:space="preserve"> </w:t>
            </w:r>
            <w:r w:rsidR="005729D9" w:rsidRPr="00897118">
              <w:rPr>
                <w:rFonts w:ascii="Arial" w:hAnsi="Arial" w:cs="Arial"/>
                <w:sz w:val="24"/>
                <w:szCs w:val="24"/>
              </w:rPr>
              <w:t>with no significan</w:t>
            </w:r>
            <w:r w:rsidR="0018317C" w:rsidRPr="00897118">
              <w:rPr>
                <w:rFonts w:ascii="Arial" w:hAnsi="Arial" w:cs="Arial"/>
                <w:sz w:val="24"/>
                <w:szCs w:val="24"/>
              </w:rPr>
              <w:t xml:space="preserve">t change from the previous year and </w:t>
            </w:r>
            <w:r w:rsidR="00186485" w:rsidRPr="00897118">
              <w:rPr>
                <w:rFonts w:ascii="Arial" w:hAnsi="Arial" w:cs="Arial"/>
                <w:sz w:val="24"/>
                <w:szCs w:val="24"/>
              </w:rPr>
              <w:t>6</w:t>
            </w:r>
            <w:r w:rsidR="00E91800" w:rsidRPr="00897118">
              <w:rPr>
                <w:rFonts w:ascii="Arial" w:hAnsi="Arial" w:cs="Arial"/>
                <w:sz w:val="24"/>
                <w:szCs w:val="24"/>
              </w:rPr>
              <w:t xml:space="preserve"> indicators where it i</w:t>
            </w:r>
            <w:r w:rsidR="00C12E6F" w:rsidRPr="00897118">
              <w:rPr>
                <w:rFonts w:ascii="Arial" w:hAnsi="Arial" w:cs="Arial"/>
                <w:sz w:val="24"/>
                <w:szCs w:val="24"/>
              </w:rPr>
              <w:t>s too early to make a judgement</w:t>
            </w:r>
            <w:r w:rsidR="00186485" w:rsidRPr="00897118">
              <w:rPr>
                <w:rFonts w:ascii="Arial" w:hAnsi="Arial" w:cs="Arial"/>
                <w:sz w:val="24"/>
                <w:szCs w:val="24"/>
              </w:rPr>
              <w:t xml:space="preserve"> or data is not yet available</w:t>
            </w:r>
            <w:r w:rsidR="00C12E6F" w:rsidRPr="00897118">
              <w:rPr>
                <w:rFonts w:ascii="Arial" w:hAnsi="Arial" w:cs="Arial"/>
                <w:sz w:val="24"/>
                <w:szCs w:val="24"/>
              </w:rPr>
              <w:t xml:space="preserve">. </w:t>
            </w:r>
            <w:r w:rsidR="00CC4919" w:rsidRPr="00897118">
              <w:rPr>
                <w:rFonts w:ascii="Arial" w:hAnsi="Arial" w:cs="Arial"/>
                <w:sz w:val="24"/>
                <w:szCs w:val="24"/>
              </w:rPr>
              <w:t xml:space="preserve"> The report shows that for </w:t>
            </w:r>
            <w:r w:rsidR="00A35728" w:rsidRPr="00897118">
              <w:rPr>
                <w:rFonts w:ascii="Arial" w:hAnsi="Arial" w:cs="Arial"/>
                <w:sz w:val="24"/>
                <w:szCs w:val="24"/>
              </w:rPr>
              <w:t>the 5</w:t>
            </w:r>
            <w:r w:rsidR="00592B18">
              <w:rPr>
                <w:rFonts w:ascii="Arial" w:hAnsi="Arial" w:cs="Arial"/>
                <w:sz w:val="24"/>
                <w:szCs w:val="24"/>
              </w:rPr>
              <w:t>6</w:t>
            </w:r>
            <w:r w:rsidR="00A35728" w:rsidRPr="00897118">
              <w:rPr>
                <w:rFonts w:ascii="Arial" w:hAnsi="Arial" w:cs="Arial"/>
                <w:sz w:val="24"/>
                <w:szCs w:val="24"/>
              </w:rPr>
              <w:t xml:space="preserve"> </w:t>
            </w:r>
            <w:r w:rsidR="00CC4919" w:rsidRPr="00897118">
              <w:rPr>
                <w:rFonts w:ascii="Arial" w:hAnsi="Arial" w:cs="Arial"/>
                <w:sz w:val="24"/>
                <w:szCs w:val="24"/>
              </w:rPr>
              <w:t>indicators whi</w:t>
            </w:r>
            <w:r w:rsidR="00A35728" w:rsidRPr="00897118">
              <w:rPr>
                <w:rFonts w:ascii="Arial" w:hAnsi="Arial" w:cs="Arial"/>
                <w:sz w:val="24"/>
                <w:szCs w:val="24"/>
              </w:rPr>
              <w:t>ch are nationally benchmarked 14 are in the top quartile and 13</w:t>
            </w:r>
            <w:r w:rsidR="00CC4919" w:rsidRPr="00897118">
              <w:rPr>
                <w:rFonts w:ascii="Arial" w:hAnsi="Arial" w:cs="Arial"/>
                <w:sz w:val="24"/>
                <w:szCs w:val="24"/>
              </w:rPr>
              <w:t xml:space="preserve"> in the bottom quartile.</w:t>
            </w:r>
          </w:p>
        </w:tc>
      </w:tr>
    </w:tbl>
    <w:p w:rsidR="00255FCC" w:rsidRDefault="00255FCC" w:rsidP="00644613">
      <w:pPr>
        <w:jc w:val="center"/>
        <w:rPr>
          <w:rFonts w:ascii="Arial" w:hAnsi="Arial" w:cs="Arial"/>
          <w:sz w:val="24"/>
          <w:szCs w:val="24"/>
          <w:u w:val="single"/>
        </w:rPr>
      </w:pPr>
    </w:p>
    <w:p w:rsidR="0059328F" w:rsidRDefault="0059328F" w:rsidP="00644613">
      <w:pPr>
        <w:jc w:val="center"/>
        <w:rPr>
          <w:rFonts w:ascii="Arial" w:hAnsi="Arial" w:cs="Arial"/>
          <w:sz w:val="24"/>
          <w:szCs w:val="24"/>
          <w:u w:val="single"/>
        </w:rPr>
      </w:pPr>
    </w:p>
    <w:tbl>
      <w:tblPr>
        <w:tblW w:w="10322" w:type="dxa"/>
        <w:tblLayout w:type="fixed"/>
        <w:tblLook w:val="0000" w:firstRow="0" w:lastRow="0" w:firstColumn="0" w:lastColumn="0" w:noHBand="0" w:noVBand="0"/>
      </w:tblPr>
      <w:tblGrid>
        <w:gridCol w:w="817"/>
        <w:gridCol w:w="9505"/>
      </w:tblGrid>
      <w:tr w:rsidR="00060B2B" w:rsidRPr="0043501F" w:rsidTr="004B5FB3">
        <w:tc>
          <w:tcPr>
            <w:tcW w:w="817" w:type="dxa"/>
          </w:tcPr>
          <w:p w:rsidR="00060B2B" w:rsidRPr="0043501F" w:rsidRDefault="00060B2B" w:rsidP="00644613">
            <w:pPr>
              <w:jc w:val="both"/>
              <w:rPr>
                <w:rFonts w:ascii="Arial" w:hAnsi="Arial" w:cs="Arial"/>
                <w:b/>
                <w:sz w:val="24"/>
                <w:szCs w:val="24"/>
              </w:rPr>
            </w:pPr>
            <w:r w:rsidRPr="0043501F">
              <w:rPr>
                <w:rFonts w:ascii="Arial" w:hAnsi="Arial" w:cs="Arial"/>
                <w:b/>
                <w:sz w:val="24"/>
                <w:szCs w:val="24"/>
              </w:rPr>
              <w:t>1.</w:t>
            </w:r>
          </w:p>
        </w:tc>
        <w:tc>
          <w:tcPr>
            <w:tcW w:w="9505" w:type="dxa"/>
          </w:tcPr>
          <w:p w:rsidR="00060B2B" w:rsidRPr="00B05CF5" w:rsidRDefault="00B05CF5" w:rsidP="006A5AA1">
            <w:pPr>
              <w:rPr>
                <w:rFonts w:ascii="Arial" w:hAnsi="Arial" w:cs="Arial"/>
                <w:sz w:val="24"/>
                <w:szCs w:val="24"/>
              </w:rPr>
            </w:pPr>
            <w:r>
              <w:rPr>
                <w:rFonts w:ascii="Arial" w:hAnsi="Arial" w:cs="Arial"/>
                <w:b/>
                <w:sz w:val="24"/>
                <w:szCs w:val="24"/>
              </w:rPr>
              <w:t>Background</w:t>
            </w:r>
          </w:p>
        </w:tc>
      </w:tr>
      <w:tr w:rsidR="00060B2B" w:rsidRPr="0043501F" w:rsidTr="004B5FB3">
        <w:tc>
          <w:tcPr>
            <w:tcW w:w="817" w:type="dxa"/>
          </w:tcPr>
          <w:p w:rsidR="00060B2B" w:rsidRPr="0043501F" w:rsidRDefault="00255FCC" w:rsidP="00644613">
            <w:pPr>
              <w:jc w:val="both"/>
              <w:rPr>
                <w:rFonts w:ascii="Arial" w:hAnsi="Arial" w:cs="Arial"/>
                <w:sz w:val="24"/>
                <w:szCs w:val="24"/>
              </w:rPr>
            </w:pPr>
            <w:r>
              <w:rPr>
                <w:rFonts w:ascii="Arial" w:hAnsi="Arial" w:cs="Arial"/>
                <w:sz w:val="24"/>
                <w:szCs w:val="24"/>
              </w:rPr>
              <w:t>1.1</w:t>
            </w:r>
          </w:p>
        </w:tc>
        <w:tc>
          <w:tcPr>
            <w:tcW w:w="9505" w:type="dxa"/>
          </w:tcPr>
          <w:p w:rsidR="008B0439" w:rsidRDefault="00A66D29" w:rsidP="008B0439">
            <w:pPr>
              <w:rPr>
                <w:rFonts w:ascii="Arial" w:hAnsi="Arial" w:cs="Arial"/>
                <w:sz w:val="24"/>
                <w:szCs w:val="24"/>
              </w:rPr>
            </w:pPr>
            <w:r>
              <w:rPr>
                <w:rFonts w:ascii="Arial" w:hAnsi="Arial" w:cs="Arial"/>
                <w:sz w:val="24"/>
                <w:szCs w:val="24"/>
              </w:rPr>
              <w:t>We are required to report on our Statu</w:t>
            </w:r>
            <w:r w:rsidR="00FB3F53">
              <w:rPr>
                <w:rFonts w:ascii="Arial" w:hAnsi="Arial" w:cs="Arial"/>
                <w:sz w:val="24"/>
                <w:szCs w:val="24"/>
              </w:rPr>
              <w:t>tory Performance Indicators (SPI</w:t>
            </w:r>
            <w:r w:rsidR="002A5D7C">
              <w:rPr>
                <w:rFonts w:ascii="Arial" w:hAnsi="Arial" w:cs="Arial"/>
                <w:sz w:val="24"/>
                <w:szCs w:val="24"/>
              </w:rPr>
              <w:t>s</w:t>
            </w:r>
            <w:r>
              <w:rPr>
                <w:rFonts w:ascii="Arial" w:hAnsi="Arial" w:cs="Arial"/>
                <w:sz w:val="24"/>
                <w:szCs w:val="24"/>
              </w:rPr>
              <w:t>) within 12 months of the end of the financial year they refer to.  This replaces the requirement to submit data to Audit Scotland and publish by 30</w:t>
            </w:r>
            <w:r w:rsidRPr="004A031B">
              <w:rPr>
                <w:rFonts w:ascii="Arial" w:hAnsi="Arial" w:cs="Arial"/>
                <w:sz w:val="24"/>
                <w:szCs w:val="24"/>
                <w:vertAlign w:val="superscript"/>
              </w:rPr>
              <w:t>th</w:t>
            </w:r>
            <w:r w:rsidR="002A5D7C">
              <w:rPr>
                <w:rFonts w:ascii="Arial" w:hAnsi="Arial" w:cs="Arial"/>
                <w:sz w:val="24"/>
                <w:szCs w:val="24"/>
              </w:rPr>
              <w:t xml:space="preserve"> September each year. </w:t>
            </w:r>
            <w:r>
              <w:rPr>
                <w:rFonts w:ascii="Arial" w:hAnsi="Arial" w:cs="Arial"/>
                <w:sz w:val="24"/>
                <w:szCs w:val="24"/>
              </w:rPr>
              <w:t>Appendix 1</w:t>
            </w:r>
            <w:r w:rsidRPr="00EC1EB8">
              <w:rPr>
                <w:rFonts w:ascii="Arial" w:hAnsi="Arial" w:cs="Arial"/>
                <w:sz w:val="24"/>
                <w:szCs w:val="24"/>
              </w:rPr>
              <w:t xml:space="preserve"> gives the value for each </w:t>
            </w:r>
            <w:smartTag w:uri="urn:schemas-microsoft-com:office:smarttags" w:element="stockticker">
              <w:r w:rsidRPr="00F16357">
                <w:rPr>
                  <w:rFonts w:ascii="Arial" w:hAnsi="Arial" w:cs="Arial"/>
                  <w:sz w:val="24"/>
                  <w:szCs w:val="24"/>
                </w:rPr>
                <w:t>SPI</w:t>
              </w:r>
            </w:smartTag>
            <w:r w:rsidRPr="00F16357">
              <w:rPr>
                <w:rFonts w:ascii="Arial" w:hAnsi="Arial" w:cs="Arial"/>
                <w:sz w:val="24"/>
                <w:szCs w:val="24"/>
              </w:rPr>
              <w:t xml:space="preserve"> and, where possible, compares</w:t>
            </w:r>
            <w:r w:rsidRPr="00EC1EB8">
              <w:rPr>
                <w:rFonts w:ascii="Arial" w:hAnsi="Arial" w:cs="Arial"/>
                <w:sz w:val="24"/>
                <w:szCs w:val="24"/>
              </w:rPr>
              <w:t xml:space="preserve"> it to the value in the previous financial year.</w:t>
            </w:r>
          </w:p>
          <w:p w:rsidR="00A03AE6" w:rsidRPr="0043501F" w:rsidRDefault="00255FCC" w:rsidP="008B0439">
            <w:pPr>
              <w:rPr>
                <w:rFonts w:ascii="Arial" w:hAnsi="Arial" w:cs="Arial"/>
                <w:sz w:val="24"/>
                <w:szCs w:val="24"/>
              </w:rPr>
            </w:pPr>
            <w:r>
              <w:rPr>
                <w:rFonts w:ascii="Arial" w:hAnsi="Arial" w:cs="Arial"/>
                <w:sz w:val="24"/>
                <w:szCs w:val="24"/>
              </w:rPr>
              <w:t xml:space="preserve">  </w:t>
            </w:r>
          </w:p>
        </w:tc>
      </w:tr>
      <w:tr w:rsidR="009D34E8" w:rsidRPr="0043501F" w:rsidTr="004B5FB3">
        <w:tc>
          <w:tcPr>
            <w:tcW w:w="817" w:type="dxa"/>
          </w:tcPr>
          <w:p w:rsidR="009D34E8" w:rsidRDefault="009D34E8" w:rsidP="00644613">
            <w:pPr>
              <w:jc w:val="both"/>
              <w:rPr>
                <w:rFonts w:ascii="Arial" w:hAnsi="Arial" w:cs="Arial"/>
                <w:sz w:val="24"/>
                <w:szCs w:val="24"/>
              </w:rPr>
            </w:pPr>
            <w:r>
              <w:rPr>
                <w:rFonts w:ascii="Arial" w:hAnsi="Arial" w:cs="Arial"/>
                <w:sz w:val="24"/>
                <w:szCs w:val="24"/>
              </w:rPr>
              <w:t>1.2</w:t>
            </w:r>
          </w:p>
        </w:tc>
        <w:tc>
          <w:tcPr>
            <w:tcW w:w="9505" w:type="dxa"/>
          </w:tcPr>
          <w:p w:rsidR="003632FE" w:rsidRDefault="00303D9A" w:rsidP="006A5AA1">
            <w:pPr>
              <w:ind w:left="60"/>
              <w:rPr>
                <w:rFonts w:ascii="Arial" w:hAnsi="Arial" w:cs="Arial"/>
                <w:sz w:val="24"/>
                <w:szCs w:val="24"/>
              </w:rPr>
            </w:pPr>
            <w:r>
              <w:rPr>
                <w:rFonts w:ascii="Arial" w:hAnsi="Arial" w:cs="Arial"/>
                <w:sz w:val="24"/>
                <w:szCs w:val="24"/>
              </w:rPr>
              <w:t>The principles that underpin the Council’s values include that we will be fair, open and accountable.  This means we will measure our</w:t>
            </w:r>
            <w:r w:rsidRPr="00FE2DA4">
              <w:rPr>
                <w:rFonts w:ascii="Arial" w:hAnsi="Arial" w:cs="Arial"/>
                <w:sz w:val="24"/>
                <w:szCs w:val="24"/>
              </w:rPr>
              <w:t xml:space="preserve"> p</w:t>
            </w:r>
            <w:r>
              <w:rPr>
                <w:rFonts w:ascii="Arial" w:hAnsi="Arial" w:cs="Arial"/>
                <w:sz w:val="24"/>
                <w:szCs w:val="24"/>
              </w:rPr>
              <w:t>erformance</w:t>
            </w:r>
            <w:r w:rsidRPr="00FE2DA4">
              <w:rPr>
                <w:rFonts w:ascii="Arial" w:hAnsi="Arial" w:cs="Arial"/>
                <w:sz w:val="24"/>
                <w:szCs w:val="24"/>
              </w:rPr>
              <w:t xml:space="preserve">, report </w:t>
            </w:r>
            <w:r>
              <w:rPr>
                <w:rFonts w:ascii="Arial" w:hAnsi="Arial" w:cs="Arial"/>
                <w:sz w:val="24"/>
                <w:szCs w:val="24"/>
              </w:rPr>
              <w:t>on it publicly and listen to our</w:t>
            </w:r>
            <w:r w:rsidRPr="00FE2DA4">
              <w:rPr>
                <w:rFonts w:ascii="Arial" w:hAnsi="Arial" w:cs="Arial"/>
                <w:sz w:val="24"/>
                <w:szCs w:val="24"/>
              </w:rPr>
              <w:t xml:space="preserve"> communities, to ensure we are delivering services that provide best value for Council Taxpayers.’</w:t>
            </w:r>
            <w:r>
              <w:rPr>
                <w:rFonts w:ascii="Arial" w:hAnsi="Arial" w:cs="Arial"/>
                <w:sz w:val="24"/>
                <w:szCs w:val="24"/>
              </w:rPr>
              <w:t xml:space="preserve"> </w:t>
            </w:r>
            <w:r w:rsidRPr="00FE2DA4">
              <w:rPr>
                <w:rFonts w:ascii="Arial" w:hAnsi="Arial" w:cs="Arial"/>
                <w:sz w:val="24"/>
                <w:szCs w:val="24"/>
              </w:rPr>
              <w:t xml:space="preserve">This </w:t>
            </w:r>
            <w:r>
              <w:rPr>
                <w:rFonts w:ascii="Arial" w:hAnsi="Arial" w:cs="Arial"/>
                <w:sz w:val="24"/>
                <w:szCs w:val="24"/>
              </w:rPr>
              <w:t>performance r</w:t>
            </w:r>
            <w:r w:rsidRPr="00FE2DA4">
              <w:rPr>
                <w:rFonts w:ascii="Arial" w:hAnsi="Arial" w:cs="Arial"/>
                <w:sz w:val="24"/>
                <w:szCs w:val="24"/>
              </w:rPr>
              <w:t xml:space="preserve">eport contributes to </w:t>
            </w:r>
            <w:r>
              <w:rPr>
                <w:rFonts w:ascii="Arial" w:hAnsi="Arial" w:cs="Arial"/>
                <w:sz w:val="24"/>
                <w:szCs w:val="24"/>
              </w:rPr>
              <w:t>achieving the Council’s values, particularly those of being open and listening.</w:t>
            </w:r>
            <w:r w:rsidRPr="00FE2DA4">
              <w:rPr>
                <w:rFonts w:ascii="Arial" w:hAnsi="Arial" w:cs="Arial"/>
                <w:sz w:val="24"/>
                <w:szCs w:val="24"/>
              </w:rPr>
              <w:t xml:space="preserve">  </w:t>
            </w:r>
            <w:r>
              <w:rPr>
                <w:rFonts w:ascii="Arial" w:hAnsi="Arial" w:cs="Arial"/>
                <w:sz w:val="24"/>
                <w:szCs w:val="24"/>
              </w:rPr>
              <w:t xml:space="preserve">This report </w:t>
            </w:r>
            <w:r w:rsidRPr="00FE2DA4">
              <w:rPr>
                <w:rFonts w:ascii="Arial" w:hAnsi="Arial" w:cs="Arial"/>
                <w:sz w:val="24"/>
                <w:szCs w:val="24"/>
              </w:rPr>
              <w:t xml:space="preserve">is </w:t>
            </w:r>
            <w:r>
              <w:rPr>
                <w:rFonts w:ascii="Arial" w:hAnsi="Arial" w:cs="Arial"/>
                <w:sz w:val="24"/>
                <w:szCs w:val="24"/>
              </w:rPr>
              <w:t xml:space="preserve">also </w:t>
            </w:r>
            <w:r w:rsidRPr="00FE2DA4">
              <w:rPr>
                <w:rFonts w:ascii="Arial" w:hAnsi="Arial" w:cs="Arial"/>
                <w:sz w:val="24"/>
                <w:szCs w:val="24"/>
              </w:rPr>
              <w:t>scrutinised by Audit Scotland</w:t>
            </w:r>
            <w:r w:rsidR="00FE2DA4" w:rsidRPr="00FE2DA4">
              <w:rPr>
                <w:rFonts w:ascii="Arial" w:hAnsi="Arial" w:cs="Arial"/>
                <w:sz w:val="24"/>
                <w:szCs w:val="24"/>
              </w:rPr>
              <w:t>.</w:t>
            </w:r>
          </w:p>
          <w:p w:rsidR="00FE2DA4" w:rsidRDefault="00FE2DA4" w:rsidP="002B5641">
            <w:pPr>
              <w:rPr>
                <w:rFonts w:ascii="Arial" w:hAnsi="Arial" w:cs="Arial"/>
                <w:sz w:val="24"/>
                <w:szCs w:val="24"/>
              </w:rPr>
            </w:pPr>
          </w:p>
        </w:tc>
      </w:tr>
      <w:tr w:rsidR="004A04A2" w:rsidRPr="0043501F" w:rsidTr="004B5FB3">
        <w:tc>
          <w:tcPr>
            <w:tcW w:w="817" w:type="dxa"/>
          </w:tcPr>
          <w:p w:rsidR="004A04A2" w:rsidRDefault="004A031B" w:rsidP="00644613">
            <w:pPr>
              <w:jc w:val="both"/>
              <w:rPr>
                <w:rFonts w:ascii="Arial" w:hAnsi="Arial" w:cs="Arial"/>
                <w:b/>
                <w:sz w:val="24"/>
                <w:szCs w:val="24"/>
              </w:rPr>
            </w:pPr>
            <w:r>
              <w:rPr>
                <w:rFonts w:ascii="Arial" w:hAnsi="Arial" w:cs="Arial"/>
                <w:b/>
                <w:sz w:val="24"/>
                <w:szCs w:val="24"/>
              </w:rPr>
              <w:t>2</w:t>
            </w:r>
          </w:p>
        </w:tc>
        <w:tc>
          <w:tcPr>
            <w:tcW w:w="9505" w:type="dxa"/>
          </w:tcPr>
          <w:p w:rsidR="004A04A2" w:rsidRDefault="004A04A2" w:rsidP="00FB3F53">
            <w:pPr>
              <w:rPr>
                <w:rFonts w:ascii="Arial" w:hAnsi="Arial" w:cs="Arial"/>
                <w:sz w:val="24"/>
                <w:szCs w:val="24"/>
              </w:rPr>
            </w:pPr>
            <w:r>
              <w:rPr>
                <w:rFonts w:ascii="Arial" w:hAnsi="Arial" w:cs="Arial"/>
                <w:b/>
                <w:sz w:val="24"/>
                <w:szCs w:val="24"/>
              </w:rPr>
              <w:t>Statu</w:t>
            </w:r>
            <w:r w:rsidR="00FB3F53">
              <w:rPr>
                <w:rFonts w:ascii="Arial" w:hAnsi="Arial" w:cs="Arial"/>
                <w:b/>
                <w:sz w:val="24"/>
                <w:szCs w:val="24"/>
              </w:rPr>
              <w:t>tory Performance Indicators 2014</w:t>
            </w:r>
            <w:r>
              <w:rPr>
                <w:rFonts w:ascii="Arial" w:hAnsi="Arial" w:cs="Arial"/>
                <w:b/>
                <w:sz w:val="24"/>
                <w:szCs w:val="24"/>
              </w:rPr>
              <w:t>/1</w:t>
            </w:r>
            <w:r w:rsidR="00FB3F53">
              <w:rPr>
                <w:rFonts w:ascii="Arial" w:hAnsi="Arial" w:cs="Arial"/>
                <w:b/>
                <w:sz w:val="24"/>
                <w:szCs w:val="24"/>
              </w:rPr>
              <w:t>5</w:t>
            </w:r>
          </w:p>
        </w:tc>
      </w:tr>
      <w:tr w:rsidR="00A66D29" w:rsidRPr="0043501F" w:rsidTr="004B5FB3">
        <w:tc>
          <w:tcPr>
            <w:tcW w:w="817" w:type="dxa"/>
          </w:tcPr>
          <w:p w:rsidR="00A66D29" w:rsidRDefault="00A66D29" w:rsidP="00A66D29">
            <w:pPr>
              <w:jc w:val="both"/>
              <w:rPr>
                <w:rFonts w:ascii="Arial" w:hAnsi="Arial" w:cs="Arial"/>
                <w:sz w:val="24"/>
                <w:szCs w:val="24"/>
              </w:rPr>
            </w:pPr>
            <w:r>
              <w:rPr>
                <w:rFonts w:ascii="Arial" w:hAnsi="Arial" w:cs="Arial"/>
                <w:sz w:val="24"/>
                <w:szCs w:val="24"/>
              </w:rPr>
              <w:t>2.1</w:t>
            </w:r>
          </w:p>
          <w:p w:rsidR="00A8287E" w:rsidRDefault="00A8287E" w:rsidP="00A66D29">
            <w:pPr>
              <w:jc w:val="both"/>
              <w:rPr>
                <w:rFonts w:ascii="Arial" w:hAnsi="Arial" w:cs="Arial"/>
                <w:sz w:val="24"/>
                <w:szCs w:val="24"/>
              </w:rPr>
            </w:pPr>
          </w:p>
          <w:p w:rsidR="00A8287E" w:rsidRDefault="00A8287E" w:rsidP="00A66D29">
            <w:pPr>
              <w:jc w:val="both"/>
              <w:rPr>
                <w:rFonts w:ascii="Arial" w:hAnsi="Arial" w:cs="Arial"/>
                <w:sz w:val="24"/>
                <w:szCs w:val="24"/>
              </w:rPr>
            </w:pPr>
          </w:p>
          <w:p w:rsidR="00A8287E" w:rsidRDefault="00A8287E" w:rsidP="00A66D29">
            <w:pPr>
              <w:jc w:val="both"/>
              <w:rPr>
                <w:rFonts w:ascii="Arial" w:hAnsi="Arial" w:cs="Arial"/>
                <w:sz w:val="24"/>
                <w:szCs w:val="24"/>
              </w:rPr>
            </w:pPr>
          </w:p>
        </w:tc>
        <w:tc>
          <w:tcPr>
            <w:tcW w:w="9505" w:type="dxa"/>
          </w:tcPr>
          <w:p w:rsidR="00672BE2" w:rsidRPr="00074593" w:rsidRDefault="00672BE2" w:rsidP="00672BE2">
            <w:pPr>
              <w:rPr>
                <w:rFonts w:ascii="Arial" w:hAnsi="Arial" w:cs="Arial"/>
                <w:sz w:val="24"/>
                <w:szCs w:val="24"/>
              </w:rPr>
            </w:pPr>
            <w:r w:rsidRPr="00074593">
              <w:rPr>
                <w:rFonts w:ascii="Arial" w:hAnsi="Arial" w:cs="Arial"/>
                <w:sz w:val="24"/>
                <w:szCs w:val="24"/>
              </w:rPr>
              <w:t>To take account of national work on benchmarking Audit Scotland reviewed their audit direction and guidance on SPIs and public performance reporting (PPR) for 201</w:t>
            </w:r>
            <w:r w:rsidR="00FB3F53">
              <w:rPr>
                <w:rFonts w:ascii="Arial" w:hAnsi="Arial" w:cs="Arial"/>
                <w:sz w:val="24"/>
                <w:szCs w:val="24"/>
              </w:rPr>
              <w:t>4</w:t>
            </w:r>
            <w:r w:rsidRPr="00074593">
              <w:rPr>
                <w:rFonts w:ascii="Arial" w:hAnsi="Arial" w:cs="Arial"/>
                <w:sz w:val="24"/>
                <w:szCs w:val="24"/>
              </w:rPr>
              <w:t>/1</w:t>
            </w:r>
            <w:r w:rsidR="00FB3F53">
              <w:rPr>
                <w:rFonts w:ascii="Arial" w:hAnsi="Arial" w:cs="Arial"/>
                <w:sz w:val="24"/>
                <w:szCs w:val="24"/>
              </w:rPr>
              <w:t>5</w:t>
            </w:r>
            <w:r w:rsidRPr="00074593">
              <w:rPr>
                <w:rFonts w:ascii="Arial" w:hAnsi="Arial" w:cs="Arial"/>
                <w:sz w:val="24"/>
                <w:szCs w:val="24"/>
              </w:rPr>
              <w:t xml:space="preserve">. There are </w:t>
            </w:r>
            <w:r w:rsidR="00FB3F53">
              <w:rPr>
                <w:rFonts w:ascii="Arial" w:hAnsi="Arial" w:cs="Arial"/>
                <w:sz w:val="24"/>
                <w:szCs w:val="24"/>
              </w:rPr>
              <w:t xml:space="preserve">currently </w:t>
            </w:r>
            <w:r w:rsidRPr="00074593">
              <w:rPr>
                <w:rFonts w:ascii="Arial" w:hAnsi="Arial" w:cs="Arial"/>
                <w:sz w:val="24"/>
                <w:szCs w:val="24"/>
              </w:rPr>
              <w:t>three strands to statutory performance reporting within this guidance and these are:</w:t>
            </w:r>
          </w:p>
          <w:p w:rsidR="00672BE2" w:rsidRPr="00074593" w:rsidRDefault="00672BE2" w:rsidP="00672BE2">
            <w:pPr>
              <w:rPr>
                <w:rFonts w:ascii="Arial" w:hAnsi="Arial" w:cs="Arial"/>
                <w:sz w:val="24"/>
                <w:szCs w:val="24"/>
              </w:rPr>
            </w:pPr>
            <w:r w:rsidRPr="00074593">
              <w:rPr>
                <w:rFonts w:ascii="Arial" w:hAnsi="Arial" w:cs="Arial"/>
                <w:sz w:val="24"/>
                <w:szCs w:val="24"/>
              </w:rPr>
              <w:t>SPi1 – Corporate Management ( including: responsiveness to communities, employees, costs, assets, sustainability and equalities)</w:t>
            </w:r>
          </w:p>
          <w:p w:rsidR="00672BE2" w:rsidRPr="00074593" w:rsidRDefault="00672BE2" w:rsidP="00672BE2">
            <w:pPr>
              <w:rPr>
                <w:rFonts w:ascii="Arial" w:hAnsi="Arial" w:cs="Arial"/>
                <w:sz w:val="24"/>
                <w:szCs w:val="24"/>
              </w:rPr>
            </w:pPr>
            <w:r w:rsidRPr="00074593">
              <w:rPr>
                <w:rFonts w:ascii="Arial" w:hAnsi="Arial" w:cs="Arial"/>
                <w:sz w:val="24"/>
                <w:szCs w:val="24"/>
              </w:rPr>
              <w:t xml:space="preserve">SPi2 – Provision of Council Services </w:t>
            </w:r>
          </w:p>
          <w:p w:rsidR="00672BE2" w:rsidRPr="00074593" w:rsidRDefault="00672BE2" w:rsidP="00672BE2">
            <w:pPr>
              <w:rPr>
                <w:rFonts w:ascii="Arial" w:hAnsi="Arial" w:cs="Arial"/>
                <w:sz w:val="24"/>
                <w:szCs w:val="24"/>
              </w:rPr>
            </w:pPr>
            <w:r w:rsidRPr="00074593">
              <w:rPr>
                <w:rFonts w:ascii="Arial" w:hAnsi="Arial" w:cs="Arial"/>
                <w:sz w:val="24"/>
                <w:szCs w:val="24"/>
              </w:rPr>
              <w:t>SPi3 – all Local Government Benchmarking Framework (LGBF) indicators</w:t>
            </w:r>
          </w:p>
          <w:p w:rsidR="00A66D29" w:rsidRPr="00074593" w:rsidRDefault="00A66D29" w:rsidP="00672BE2">
            <w:pPr>
              <w:rPr>
                <w:rFonts w:ascii="Arial" w:hAnsi="Arial" w:cs="Arial"/>
                <w:sz w:val="24"/>
                <w:szCs w:val="24"/>
              </w:rPr>
            </w:pPr>
          </w:p>
        </w:tc>
      </w:tr>
      <w:tr w:rsidR="00A8287E" w:rsidRPr="0043501F" w:rsidTr="004B5FB3">
        <w:tc>
          <w:tcPr>
            <w:tcW w:w="817" w:type="dxa"/>
          </w:tcPr>
          <w:p w:rsidR="00A8287E" w:rsidRDefault="00A8287E" w:rsidP="00A66D29">
            <w:pPr>
              <w:jc w:val="both"/>
              <w:rPr>
                <w:rFonts w:ascii="Arial" w:hAnsi="Arial" w:cs="Arial"/>
                <w:sz w:val="24"/>
                <w:szCs w:val="24"/>
              </w:rPr>
            </w:pPr>
            <w:r>
              <w:rPr>
                <w:rFonts w:ascii="Arial" w:hAnsi="Arial" w:cs="Arial"/>
                <w:sz w:val="24"/>
                <w:szCs w:val="24"/>
              </w:rPr>
              <w:t>2.2</w:t>
            </w:r>
          </w:p>
        </w:tc>
        <w:tc>
          <w:tcPr>
            <w:tcW w:w="9505" w:type="dxa"/>
          </w:tcPr>
          <w:p w:rsidR="00672BE2" w:rsidRPr="00074593" w:rsidRDefault="00672BE2" w:rsidP="00672BE2">
            <w:pPr>
              <w:rPr>
                <w:rFonts w:ascii="Arial" w:hAnsi="Arial" w:cs="Arial"/>
                <w:sz w:val="24"/>
                <w:szCs w:val="24"/>
              </w:rPr>
            </w:pPr>
            <w:r w:rsidRPr="00074593">
              <w:rPr>
                <w:rFonts w:ascii="Arial" w:hAnsi="Arial" w:cs="Arial"/>
                <w:sz w:val="24"/>
                <w:szCs w:val="24"/>
              </w:rPr>
              <w:t>Audit Scotland also reviewed and fed back to Scottish Local Authorities on their approach to PPR in Ju</w:t>
            </w:r>
            <w:r w:rsidR="00FB3F53">
              <w:rPr>
                <w:rFonts w:ascii="Arial" w:hAnsi="Arial" w:cs="Arial"/>
                <w:sz w:val="24"/>
                <w:szCs w:val="24"/>
              </w:rPr>
              <w:t>ly 201</w:t>
            </w:r>
            <w:r w:rsidR="006724E3">
              <w:rPr>
                <w:rFonts w:ascii="Arial" w:hAnsi="Arial" w:cs="Arial"/>
                <w:sz w:val="24"/>
                <w:szCs w:val="24"/>
              </w:rPr>
              <w:t>5</w:t>
            </w:r>
            <w:r w:rsidRPr="00074593">
              <w:rPr>
                <w:rFonts w:ascii="Arial" w:hAnsi="Arial" w:cs="Arial"/>
                <w:sz w:val="24"/>
                <w:szCs w:val="24"/>
              </w:rPr>
              <w:t>.</w:t>
            </w:r>
            <w:r w:rsidR="00FB3F53">
              <w:rPr>
                <w:rFonts w:ascii="Arial" w:hAnsi="Arial" w:cs="Arial"/>
                <w:sz w:val="24"/>
                <w:szCs w:val="24"/>
              </w:rPr>
              <w:t xml:space="preserve"> This provided helpful information to assist the Council improve its approach to PPR</w:t>
            </w:r>
            <w:r w:rsidRPr="00074593">
              <w:rPr>
                <w:rFonts w:ascii="Arial" w:hAnsi="Arial" w:cs="Arial"/>
                <w:sz w:val="24"/>
                <w:szCs w:val="24"/>
              </w:rPr>
              <w:t>.</w:t>
            </w:r>
            <w:r w:rsidR="00FB3F53">
              <w:rPr>
                <w:rFonts w:ascii="Arial" w:hAnsi="Arial" w:cs="Arial"/>
                <w:sz w:val="24"/>
                <w:szCs w:val="24"/>
              </w:rPr>
              <w:t xml:space="preserve">  An improvement plan was agreed at Audit and Scrutiny Committee on 30 September 2015 and this included developing further our set of SPIs and developing Service level performance pages on our website.</w:t>
            </w:r>
          </w:p>
          <w:p w:rsidR="00A8287E" w:rsidRPr="00074593" w:rsidRDefault="00A8287E" w:rsidP="00672BE2">
            <w:pPr>
              <w:rPr>
                <w:rFonts w:ascii="Arial" w:hAnsi="Arial" w:cs="Arial"/>
                <w:sz w:val="24"/>
                <w:szCs w:val="24"/>
              </w:rPr>
            </w:pPr>
          </w:p>
        </w:tc>
      </w:tr>
      <w:tr w:rsidR="00495CAC" w:rsidRPr="0043501F" w:rsidTr="004B5FB3">
        <w:tc>
          <w:tcPr>
            <w:tcW w:w="817" w:type="dxa"/>
          </w:tcPr>
          <w:p w:rsidR="00495CAC" w:rsidRDefault="00A8287E" w:rsidP="00A66D29">
            <w:pPr>
              <w:jc w:val="both"/>
              <w:rPr>
                <w:rFonts w:ascii="Arial" w:hAnsi="Arial" w:cs="Arial"/>
                <w:sz w:val="24"/>
                <w:szCs w:val="24"/>
              </w:rPr>
            </w:pPr>
            <w:r>
              <w:rPr>
                <w:rFonts w:ascii="Arial" w:hAnsi="Arial" w:cs="Arial"/>
                <w:sz w:val="24"/>
                <w:szCs w:val="24"/>
              </w:rPr>
              <w:t>2.3</w:t>
            </w:r>
          </w:p>
        </w:tc>
        <w:tc>
          <w:tcPr>
            <w:tcW w:w="9505" w:type="dxa"/>
          </w:tcPr>
          <w:p w:rsidR="00495CAC" w:rsidRPr="00E90711" w:rsidRDefault="002A5D7C" w:rsidP="00D13C02">
            <w:pPr>
              <w:rPr>
                <w:rFonts w:ascii="Arial" w:hAnsi="Arial" w:cs="Arial"/>
                <w:sz w:val="24"/>
                <w:szCs w:val="24"/>
              </w:rPr>
            </w:pPr>
            <w:r w:rsidRPr="00E90711">
              <w:rPr>
                <w:rFonts w:ascii="Arial" w:hAnsi="Arial" w:cs="Arial"/>
                <w:sz w:val="24"/>
                <w:szCs w:val="24"/>
              </w:rPr>
              <w:t xml:space="preserve">This report covers </w:t>
            </w:r>
            <w:r w:rsidR="00495CAC" w:rsidRPr="00E90711">
              <w:rPr>
                <w:rFonts w:ascii="Arial" w:hAnsi="Arial" w:cs="Arial"/>
                <w:sz w:val="24"/>
                <w:szCs w:val="24"/>
              </w:rPr>
              <w:t>all indicators locally</w:t>
            </w:r>
            <w:r w:rsidR="005570FA" w:rsidRPr="00E90711">
              <w:rPr>
                <w:rFonts w:ascii="Arial" w:hAnsi="Arial" w:cs="Arial"/>
                <w:sz w:val="24"/>
                <w:szCs w:val="24"/>
              </w:rPr>
              <w:t xml:space="preserve"> </w:t>
            </w:r>
            <w:r w:rsidR="00495CAC" w:rsidRPr="00E90711">
              <w:rPr>
                <w:rFonts w:ascii="Arial" w:hAnsi="Arial" w:cs="Arial"/>
                <w:sz w:val="24"/>
                <w:szCs w:val="24"/>
              </w:rPr>
              <w:t xml:space="preserve">determined </w:t>
            </w:r>
            <w:r w:rsidR="008F5011" w:rsidRPr="00E90711">
              <w:rPr>
                <w:rFonts w:ascii="Arial" w:hAnsi="Arial" w:cs="Arial"/>
                <w:sz w:val="24"/>
                <w:szCs w:val="24"/>
              </w:rPr>
              <w:t>(</w:t>
            </w:r>
            <w:r w:rsidR="00495CAC" w:rsidRPr="00E90711">
              <w:rPr>
                <w:rFonts w:ascii="Arial" w:hAnsi="Arial" w:cs="Arial"/>
                <w:sz w:val="24"/>
                <w:szCs w:val="24"/>
              </w:rPr>
              <w:t>SPi1</w:t>
            </w:r>
            <w:r w:rsidR="008F5011" w:rsidRPr="00E90711">
              <w:rPr>
                <w:rFonts w:ascii="Arial" w:hAnsi="Arial" w:cs="Arial"/>
                <w:sz w:val="24"/>
                <w:szCs w:val="24"/>
              </w:rPr>
              <w:t xml:space="preserve"> &amp; </w:t>
            </w:r>
            <w:r w:rsidR="00495CAC" w:rsidRPr="00E90711">
              <w:rPr>
                <w:rFonts w:ascii="Arial" w:hAnsi="Arial" w:cs="Arial"/>
                <w:sz w:val="24"/>
                <w:szCs w:val="24"/>
              </w:rPr>
              <w:t>2</w:t>
            </w:r>
            <w:r w:rsidR="008F5011" w:rsidRPr="00E90711">
              <w:rPr>
                <w:rFonts w:ascii="Arial" w:hAnsi="Arial" w:cs="Arial"/>
                <w:sz w:val="24"/>
                <w:szCs w:val="24"/>
              </w:rPr>
              <w:t>)</w:t>
            </w:r>
            <w:r w:rsidR="005570FA" w:rsidRPr="00E90711">
              <w:rPr>
                <w:rFonts w:ascii="Arial" w:hAnsi="Arial" w:cs="Arial"/>
                <w:sz w:val="24"/>
                <w:szCs w:val="24"/>
              </w:rPr>
              <w:t xml:space="preserve"> and </w:t>
            </w:r>
            <w:r w:rsidR="008F5011" w:rsidRPr="00E90711">
              <w:rPr>
                <w:rFonts w:ascii="Arial" w:hAnsi="Arial" w:cs="Arial"/>
                <w:sz w:val="24"/>
                <w:szCs w:val="24"/>
              </w:rPr>
              <w:t>LGBF (</w:t>
            </w:r>
            <w:r w:rsidR="005570FA" w:rsidRPr="00E90711">
              <w:rPr>
                <w:rFonts w:ascii="Arial" w:hAnsi="Arial" w:cs="Arial"/>
                <w:sz w:val="24"/>
                <w:szCs w:val="24"/>
              </w:rPr>
              <w:t>SPi3</w:t>
            </w:r>
            <w:r w:rsidR="008F5011" w:rsidRPr="00E90711">
              <w:rPr>
                <w:rFonts w:ascii="Arial" w:hAnsi="Arial" w:cs="Arial"/>
                <w:sz w:val="24"/>
                <w:szCs w:val="24"/>
              </w:rPr>
              <w:t>)</w:t>
            </w:r>
            <w:r w:rsidR="00495CAC" w:rsidRPr="00E90711">
              <w:rPr>
                <w:rFonts w:ascii="Arial" w:hAnsi="Arial" w:cs="Arial"/>
                <w:sz w:val="24"/>
                <w:szCs w:val="24"/>
              </w:rPr>
              <w:t xml:space="preserve"> </w:t>
            </w:r>
            <w:r w:rsidR="008F5011" w:rsidRPr="00E90711">
              <w:rPr>
                <w:rFonts w:ascii="Arial" w:hAnsi="Arial" w:cs="Arial"/>
                <w:sz w:val="24"/>
                <w:szCs w:val="24"/>
              </w:rPr>
              <w:t xml:space="preserve">and </w:t>
            </w:r>
            <w:r w:rsidR="00CC4919" w:rsidRPr="00E90711">
              <w:rPr>
                <w:rFonts w:ascii="Arial" w:hAnsi="Arial" w:cs="Arial"/>
                <w:sz w:val="24"/>
                <w:szCs w:val="24"/>
              </w:rPr>
              <w:t xml:space="preserve">a summary of the </w:t>
            </w:r>
            <w:r w:rsidR="005570FA" w:rsidRPr="00E90711">
              <w:rPr>
                <w:rFonts w:ascii="Arial" w:hAnsi="Arial" w:cs="Arial"/>
                <w:sz w:val="24"/>
                <w:szCs w:val="24"/>
              </w:rPr>
              <w:t xml:space="preserve">audit direction </w:t>
            </w:r>
            <w:r w:rsidR="005A6B23" w:rsidRPr="00E90711">
              <w:rPr>
                <w:rFonts w:ascii="Arial" w:hAnsi="Arial" w:cs="Arial"/>
                <w:sz w:val="24"/>
                <w:szCs w:val="24"/>
              </w:rPr>
              <w:t>for</w:t>
            </w:r>
            <w:r w:rsidR="005570FA" w:rsidRPr="00E90711">
              <w:rPr>
                <w:rFonts w:ascii="Arial" w:hAnsi="Arial" w:cs="Arial"/>
                <w:sz w:val="24"/>
                <w:szCs w:val="24"/>
              </w:rPr>
              <w:t xml:space="preserve"> </w:t>
            </w:r>
            <w:r w:rsidR="008F5011" w:rsidRPr="00E90711">
              <w:rPr>
                <w:rFonts w:ascii="Arial" w:hAnsi="Arial" w:cs="Arial"/>
                <w:sz w:val="24"/>
                <w:szCs w:val="24"/>
              </w:rPr>
              <w:t xml:space="preserve">these </w:t>
            </w:r>
            <w:r w:rsidR="00E86F7D" w:rsidRPr="00E90711">
              <w:rPr>
                <w:rFonts w:ascii="Arial" w:hAnsi="Arial" w:cs="Arial"/>
                <w:sz w:val="24"/>
                <w:szCs w:val="24"/>
              </w:rPr>
              <w:t xml:space="preserve">indicators </w:t>
            </w:r>
            <w:r w:rsidR="008F5011" w:rsidRPr="00E90711">
              <w:rPr>
                <w:rFonts w:ascii="Arial" w:hAnsi="Arial" w:cs="Arial"/>
                <w:sz w:val="24"/>
                <w:szCs w:val="24"/>
              </w:rPr>
              <w:t>is provided as Appendix 3</w:t>
            </w:r>
            <w:r w:rsidR="00495CAC" w:rsidRPr="00E90711">
              <w:rPr>
                <w:rFonts w:ascii="Arial" w:hAnsi="Arial" w:cs="Arial"/>
                <w:sz w:val="24"/>
                <w:szCs w:val="24"/>
              </w:rPr>
              <w:t xml:space="preserve">.  </w:t>
            </w:r>
            <w:r w:rsidR="00B319CF" w:rsidRPr="00E90711">
              <w:rPr>
                <w:rFonts w:ascii="Arial" w:hAnsi="Arial" w:cs="Arial"/>
                <w:sz w:val="24"/>
                <w:szCs w:val="24"/>
              </w:rPr>
              <w:t xml:space="preserve">All </w:t>
            </w:r>
            <w:r w:rsidR="00495CAC" w:rsidRPr="00E90711">
              <w:rPr>
                <w:rFonts w:ascii="Arial" w:hAnsi="Arial" w:cs="Arial"/>
                <w:sz w:val="24"/>
                <w:szCs w:val="24"/>
              </w:rPr>
              <w:t>LGBF</w:t>
            </w:r>
            <w:r w:rsidR="00494550" w:rsidRPr="00E90711">
              <w:rPr>
                <w:rFonts w:ascii="Arial" w:hAnsi="Arial" w:cs="Arial"/>
                <w:sz w:val="24"/>
                <w:szCs w:val="24"/>
              </w:rPr>
              <w:t xml:space="preserve"> (SPi3)</w:t>
            </w:r>
            <w:r w:rsidR="00495CAC" w:rsidRPr="00E90711">
              <w:rPr>
                <w:rFonts w:ascii="Arial" w:hAnsi="Arial" w:cs="Arial"/>
                <w:sz w:val="24"/>
                <w:szCs w:val="24"/>
              </w:rPr>
              <w:t xml:space="preserve"> indicators </w:t>
            </w:r>
            <w:r w:rsidR="00B319CF" w:rsidRPr="00E90711">
              <w:rPr>
                <w:rFonts w:ascii="Arial" w:hAnsi="Arial" w:cs="Arial"/>
                <w:sz w:val="24"/>
                <w:szCs w:val="24"/>
              </w:rPr>
              <w:t>are</w:t>
            </w:r>
            <w:r w:rsidR="00495CAC" w:rsidRPr="00E90711">
              <w:rPr>
                <w:rFonts w:ascii="Arial" w:hAnsi="Arial" w:cs="Arial"/>
                <w:sz w:val="24"/>
                <w:szCs w:val="24"/>
              </w:rPr>
              <w:t xml:space="preserve"> also used as evidence for </w:t>
            </w:r>
            <w:r w:rsidR="008F5011" w:rsidRPr="00E90711">
              <w:rPr>
                <w:rFonts w:ascii="Arial" w:hAnsi="Arial" w:cs="Arial"/>
                <w:sz w:val="24"/>
                <w:szCs w:val="24"/>
              </w:rPr>
              <w:t>ar</w:t>
            </w:r>
            <w:r w:rsidR="00495CAC" w:rsidRPr="00E90711">
              <w:rPr>
                <w:rFonts w:ascii="Arial" w:hAnsi="Arial" w:cs="Arial"/>
                <w:sz w:val="24"/>
                <w:szCs w:val="24"/>
              </w:rPr>
              <w:t xml:space="preserve">eas of </w:t>
            </w:r>
            <w:r w:rsidRPr="00E90711">
              <w:rPr>
                <w:rFonts w:ascii="Arial" w:hAnsi="Arial" w:cs="Arial"/>
                <w:sz w:val="24"/>
                <w:szCs w:val="24"/>
              </w:rPr>
              <w:t>activity</w:t>
            </w:r>
            <w:r w:rsidR="008F5011" w:rsidRPr="00E90711">
              <w:rPr>
                <w:rFonts w:ascii="Arial" w:hAnsi="Arial" w:cs="Arial"/>
                <w:sz w:val="24"/>
                <w:szCs w:val="24"/>
              </w:rPr>
              <w:t xml:space="preserve"> identified under SPi 1 </w:t>
            </w:r>
            <w:r w:rsidR="008F5011" w:rsidRPr="00E90711">
              <w:rPr>
                <w:rFonts w:ascii="Arial" w:hAnsi="Arial" w:cs="Arial"/>
                <w:sz w:val="24"/>
                <w:szCs w:val="24"/>
              </w:rPr>
              <w:lastRenderedPageBreak/>
              <w:t xml:space="preserve">and 2.  </w:t>
            </w:r>
          </w:p>
          <w:p w:rsidR="00D13C02" w:rsidRPr="00E90711" w:rsidRDefault="00D13C02" w:rsidP="00D13C02">
            <w:pPr>
              <w:rPr>
                <w:rFonts w:ascii="Arial" w:hAnsi="Arial" w:cs="Arial"/>
                <w:sz w:val="24"/>
                <w:szCs w:val="24"/>
              </w:rPr>
            </w:pPr>
          </w:p>
        </w:tc>
      </w:tr>
      <w:tr w:rsidR="00C67EBD" w:rsidRPr="0043501F" w:rsidTr="004B5FB3">
        <w:tc>
          <w:tcPr>
            <w:tcW w:w="817" w:type="dxa"/>
          </w:tcPr>
          <w:p w:rsidR="00C67EBD" w:rsidRDefault="00A66D29" w:rsidP="00A66D29">
            <w:pPr>
              <w:jc w:val="both"/>
              <w:rPr>
                <w:rFonts w:ascii="Arial" w:hAnsi="Arial" w:cs="Arial"/>
                <w:sz w:val="24"/>
                <w:szCs w:val="24"/>
              </w:rPr>
            </w:pPr>
            <w:r>
              <w:rPr>
                <w:rFonts w:ascii="Arial" w:hAnsi="Arial" w:cs="Arial"/>
                <w:sz w:val="24"/>
                <w:szCs w:val="24"/>
              </w:rPr>
              <w:lastRenderedPageBreak/>
              <w:t>2.</w:t>
            </w:r>
            <w:r w:rsidR="004F0868">
              <w:rPr>
                <w:rFonts w:ascii="Arial" w:hAnsi="Arial" w:cs="Arial"/>
                <w:sz w:val="24"/>
                <w:szCs w:val="24"/>
              </w:rPr>
              <w:t>4</w:t>
            </w:r>
          </w:p>
        </w:tc>
        <w:tc>
          <w:tcPr>
            <w:tcW w:w="9505" w:type="dxa"/>
          </w:tcPr>
          <w:p w:rsidR="00C67EBD" w:rsidRPr="00E90711" w:rsidRDefault="005F5C47" w:rsidP="007D37ED">
            <w:pPr>
              <w:rPr>
                <w:rFonts w:ascii="Arial" w:hAnsi="Arial" w:cs="Arial"/>
                <w:sz w:val="24"/>
                <w:szCs w:val="24"/>
              </w:rPr>
            </w:pPr>
            <w:r w:rsidRPr="00E90711">
              <w:rPr>
                <w:rFonts w:ascii="Arial" w:hAnsi="Arial" w:cs="Arial"/>
                <w:sz w:val="24"/>
                <w:szCs w:val="24"/>
              </w:rPr>
              <w:t>T</w:t>
            </w:r>
            <w:r w:rsidR="00C67EBD" w:rsidRPr="00E90711">
              <w:rPr>
                <w:rFonts w:ascii="Arial" w:hAnsi="Arial" w:cs="Arial"/>
                <w:sz w:val="24"/>
                <w:szCs w:val="24"/>
              </w:rPr>
              <w:t>he Highland Council has improved performance by 5% or more in 201</w:t>
            </w:r>
            <w:r w:rsidR="00D13C02" w:rsidRPr="00E90711">
              <w:rPr>
                <w:rFonts w:ascii="Arial" w:hAnsi="Arial" w:cs="Arial"/>
                <w:sz w:val="24"/>
                <w:szCs w:val="24"/>
              </w:rPr>
              <w:t>4</w:t>
            </w:r>
            <w:r w:rsidR="004A031B" w:rsidRPr="00E90711">
              <w:rPr>
                <w:rFonts w:ascii="Arial" w:hAnsi="Arial" w:cs="Arial"/>
                <w:sz w:val="24"/>
                <w:szCs w:val="24"/>
              </w:rPr>
              <w:t>/1</w:t>
            </w:r>
            <w:r w:rsidR="00D13C02" w:rsidRPr="00E90711">
              <w:rPr>
                <w:rFonts w:ascii="Arial" w:hAnsi="Arial" w:cs="Arial"/>
                <w:sz w:val="24"/>
                <w:szCs w:val="24"/>
              </w:rPr>
              <w:t>5</w:t>
            </w:r>
            <w:r w:rsidR="00C67EBD" w:rsidRPr="00E90711">
              <w:rPr>
                <w:rFonts w:ascii="Arial" w:hAnsi="Arial" w:cs="Arial"/>
                <w:sz w:val="24"/>
                <w:szCs w:val="24"/>
              </w:rPr>
              <w:t xml:space="preserve"> on </w:t>
            </w:r>
            <w:r w:rsidR="001A04F4" w:rsidRPr="00E90711">
              <w:rPr>
                <w:rFonts w:ascii="Arial" w:hAnsi="Arial" w:cs="Arial"/>
                <w:sz w:val="24"/>
                <w:szCs w:val="24"/>
              </w:rPr>
              <w:t>52</w:t>
            </w:r>
            <w:r w:rsidR="004A031B" w:rsidRPr="00E90711">
              <w:rPr>
                <w:rFonts w:ascii="Arial" w:hAnsi="Arial" w:cs="Arial"/>
                <w:sz w:val="24"/>
                <w:szCs w:val="24"/>
              </w:rPr>
              <w:t xml:space="preserve"> indicators, with </w:t>
            </w:r>
            <w:r w:rsidR="001A04F4" w:rsidRPr="00E90711">
              <w:rPr>
                <w:rFonts w:ascii="Arial" w:hAnsi="Arial" w:cs="Arial"/>
                <w:sz w:val="24"/>
                <w:szCs w:val="24"/>
              </w:rPr>
              <w:t>32</w:t>
            </w:r>
            <w:r w:rsidR="00D13C02" w:rsidRPr="00E90711">
              <w:rPr>
                <w:rFonts w:ascii="Arial" w:hAnsi="Arial" w:cs="Arial"/>
                <w:sz w:val="24"/>
                <w:szCs w:val="24"/>
              </w:rPr>
              <w:t xml:space="preserve"> </w:t>
            </w:r>
            <w:r w:rsidR="00C67EBD" w:rsidRPr="00E90711">
              <w:rPr>
                <w:rFonts w:ascii="Arial" w:hAnsi="Arial" w:cs="Arial"/>
                <w:sz w:val="24"/>
                <w:szCs w:val="24"/>
              </w:rPr>
              <w:t>indicators showing a decline of 5% or more.</w:t>
            </w:r>
            <w:r w:rsidR="00E415E1" w:rsidRPr="00E90711">
              <w:rPr>
                <w:rFonts w:ascii="Arial" w:hAnsi="Arial" w:cs="Arial"/>
                <w:sz w:val="24"/>
                <w:szCs w:val="24"/>
              </w:rPr>
              <w:t xml:space="preserve"> </w:t>
            </w:r>
            <w:r w:rsidR="007D0C94" w:rsidRPr="00E90711">
              <w:rPr>
                <w:rFonts w:ascii="Arial" w:hAnsi="Arial" w:cs="Arial"/>
                <w:sz w:val="24"/>
                <w:szCs w:val="24"/>
              </w:rPr>
              <w:t xml:space="preserve">This means for 2014/15 we have 74% of SPis improving by 5% or more or being maintained compared to 54% the previous year. </w:t>
            </w:r>
            <w:r w:rsidR="00E415E1" w:rsidRPr="00E90711">
              <w:rPr>
                <w:rFonts w:ascii="Arial" w:hAnsi="Arial" w:cs="Arial"/>
                <w:sz w:val="24"/>
                <w:szCs w:val="24"/>
              </w:rPr>
              <w:t>Note that</w:t>
            </w:r>
            <w:r w:rsidR="00C67EBD" w:rsidRPr="00E90711">
              <w:rPr>
                <w:rFonts w:ascii="Arial" w:hAnsi="Arial" w:cs="Arial"/>
                <w:sz w:val="24"/>
                <w:szCs w:val="24"/>
              </w:rPr>
              <w:t xml:space="preserve"> </w:t>
            </w:r>
            <w:r w:rsidR="00E415E1" w:rsidRPr="00E90711">
              <w:rPr>
                <w:rFonts w:ascii="Arial" w:hAnsi="Arial" w:cs="Arial"/>
                <w:sz w:val="24"/>
                <w:szCs w:val="24"/>
              </w:rPr>
              <w:t xml:space="preserve">all cost indicators using financial information from Local Financial Returns (LFR) may be subject to change when the Scottish Government </w:t>
            </w:r>
            <w:r w:rsidR="00D13C02" w:rsidRPr="00E90711">
              <w:rPr>
                <w:rFonts w:ascii="Arial" w:hAnsi="Arial" w:cs="Arial"/>
                <w:sz w:val="24"/>
                <w:szCs w:val="24"/>
              </w:rPr>
              <w:t>publishes</w:t>
            </w:r>
            <w:r w:rsidR="00E415E1" w:rsidRPr="00E90711">
              <w:rPr>
                <w:rFonts w:ascii="Arial" w:hAnsi="Arial" w:cs="Arial"/>
                <w:sz w:val="24"/>
                <w:szCs w:val="24"/>
              </w:rPr>
              <w:t xml:space="preserve"> final audited figures in March 201</w:t>
            </w:r>
            <w:r w:rsidR="00D13C02" w:rsidRPr="00E90711">
              <w:rPr>
                <w:rFonts w:ascii="Arial" w:hAnsi="Arial" w:cs="Arial"/>
                <w:sz w:val="24"/>
                <w:szCs w:val="24"/>
              </w:rPr>
              <w:t>6</w:t>
            </w:r>
            <w:r w:rsidR="00E415E1" w:rsidRPr="00E90711">
              <w:rPr>
                <w:rFonts w:ascii="Arial" w:hAnsi="Arial" w:cs="Arial"/>
                <w:sz w:val="24"/>
                <w:szCs w:val="24"/>
              </w:rPr>
              <w:t xml:space="preserve">. </w:t>
            </w:r>
            <w:r w:rsidR="00C67EBD" w:rsidRPr="00E90711">
              <w:rPr>
                <w:rFonts w:ascii="Arial" w:hAnsi="Arial" w:cs="Arial"/>
                <w:sz w:val="24"/>
                <w:szCs w:val="24"/>
              </w:rPr>
              <w:t xml:space="preserve">The table below </w:t>
            </w:r>
            <w:r w:rsidR="00E86F7D" w:rsidRPr="00E90711">
              <w:rPr>
                <w:rFonts w:ascii="Arial" w:hAnsi="Arial" w:cs="Arial"/>
                <w:sz w:val="24"/>
                <w:szCs w:val="24"/>
              </w:rPr>
              <w:t xml:space="preserve">summaries performance, </w:t>
            </w:r>
            <w:r w:rsidR="004A031B" w:rsidRPr="00E90711">
              <w:rPr>
                <w:rFonts w:ascii="Arial" w:hAnsi="Arial" w:cs="Arial"/>
                <w:sz w:val="24"/>
                <w:szCs w:val="24"/>
              </w:rPr>
              <w:t>note that the number of indicators each year will vary depending on both local and national reviews</w:t>
            </w:r>
            <w:r w:rsidR="00C67EBD" w:rsidRPr="00E90711">
              <w:rPr>
                <w:rFonts w:ascii="Arial" w:hAnsi="Arial" w:cs="Arial"/>
                <w:sz w:val="24"/>
                <w:szCs w:val="24"/>
              </w:rPr>
              <w:t>.</w:t>
            </w:r>
          </w:p>
          <w:p w:rsidR="00C67EBD" w:rsidRPr="00E90711" w:rsidRDefault="00C67EBD" w:rsidP="007D37ED">
            <w:pPr>
              <w:rPr>
                <w:rFonts w:ascii="Arial" w:hAnsi="Arial" w:cs="Arial"/>
                <w:sz w:val="24"/>
                <w:szCs w:val="24"/>
              </w:rPr>
            </w:pPr>
          </w:p>
        </w:tc>
      </w:tr>
      <w:tr w:rsidR="00C67EBD" w:rsidRPr="0043501F" w:rsidTr="004B5FB3">
        <w:trPr>
          <w:trHeight w:val="2548"/>
        </w:trPr>
        <w:tc>
          <w:tcPr>
            <w:tcW w:w="817" w:type="dxa"/>
          </w:tcPr>
          <w:p w:rsidR="00C67EBD" w:rsidRDefault="00C67EBD" w:rsidP="00C67EBD">
            <w:pPr>
              <w:jc w:val="both"/>
              <w:rPr>
                <w:rFonts w:ascii="Arial" w:hAnsi="Arial" w:cs="Arial"/>
                <w:sz w:val="24"/>
                <w:szCs w:val="24"/>
              </w:rPr>
            </w:pPr>
          </w:p>
        </w:tc>
        <w:tc>
          <w:tcPr>
            <w:tcW w:w="9505" w:type="dxa"/>
            <w:tcBorders>
              <w:left w:val="nil"/>
            </w:tcBorders>
          </w:tcPr>
          <w:tbl>
            <w:tblPr>
              <w:tblpPr w:leftFromText="180" w:rightFromText="180" w:vertAnchor="text" w:horzAnchor="margin" w:tblpY="-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225"/>
              <w:gridCol w:w="1084"/>
              <w:gridCol w:w="1084"/>
            </w:tblGrid>
            <w:tr w:rsidR="00D13C02" w:rsidRPr="00EC1EB8" w:rsidTr="004B5FB3">
              <w:tc>
                <w:tcPr>
                  <w:tcW w:w="6717" w:type="dxa"/>
                  <w:gridSpan w:val="2"/>
                  <w:vAlign w:val="center"/>
                </w:tcPr>
                <w:p w:rsidR="00D13C02" w:rsidRPr="00EC1EB8" w:rsidRDefault="00D13C02" w:rsidP="00EB3653">
                  <w:pPr>
                    <w:jc w:val="both"/>
                    <w:rPr>
                      <w:rFonts w:ascii="Arial" w:hAnsi="Arial" w:cs="Arial"/>
                      <w:sz w:val="24"/>
                      <w:szCs w:val="24"/>
                    </w:rPr>
                  </w:pPr>
                  <w:r w:rsidRPr="00EC1EB8">
                    <w:rPr>
                      <w:rFonts w:ascii="Arial" w:hAnsi="Arial" w:cs="Arial"/>
                      <w:b/>
                      <w:sz w:val="24"/>
                      <w:szCs w:val="24"/>
                    </w:rPr>
                    <w:t>The following key has been used where:</w:t>
                  </w:r>
                </w:p>
              </w:tc>
              <w:tc>
                <w:tcPr>
                  <w:tcW w:w="1084" w:type="dxa"/>
                </w:tcPr>
                <w:p w:rsidR="00D13C02" w:rsidRPr="00265B46" w:rsidRDefault="00D13C02" w:rsidP="00EB3653">
                  <w:pPr>
                    <w:jc w:val="both"/>
                    <w:rPr>
                      <w:rFonts w:ascii="Arial" w:hAnsi="Arial" w:cs="Arial"/>
                      <w:sz w:val="24"/>
                      <w:szCs w:val="24"/>
                    </w:rPr>
                  </w:pPr>
                  <w:r w:rsidRPr="00265B46">
                    <w:rPr>
                      <w:rFonts w:ascii="Arial" w:hAnsi="Arial" w:cs="Arial"/>
                      <w:sz w:val="24"/>
                      <w:szCs w:val="24"/>
                    </w:rPr>
                    <w:t>2013/14 vs</w:t>
                  </w:r>
                </w:p>
                <w:p w:rsidR="00D13C02" w:rsidRPr="00265B46" w:rsidRDefault="00D13C02" w:rsidP="00EB3653">
                  <w:pPr>
                    <w:jc w:val="both"/>
                    <w:rPr>
                      <w:rFonts w:ascii="Arial" w:hAnsi="Arial" w:cs="Arial"/>
                      <w:sz w:val="24"/>
                      <w:szCs w:val="24"/>
                    </w:rPr>
                  </w:pPr>
                  <w:r w:rsidRPr="00265B46">
                    <w:rPr>
                      <w:rFonts w:ascii="Arial" w:hAnsi="Arial" w:cs="Arial"/>
                      <w:sz w:val="24"/>
                      <w:szCs w:val="24"/>
                    </w:rPr>
                    <w:t>2012/13</w:t>
                  </w:r>
                </w:p>
              </w:tc>
              <w:tc>
                <w:tcPr>
                  <w:tcW w:w="1084" w:type="dxa"/>
                </w:tcPr>
                <w:p w:rsidR="00D13C02" w:rsidRPr="00897118" w:rsidRDefault="00D13C02" w:rsidP="00EB3653">
                  <w:pPr>
                    <w:jc w:val="both"/>
                    <w:rPr>
                      <w:rFonts w:ascii="Arial" w:hAnsi="Arial" w:cs="Arial"/>
                      <w:sz w:val="24"/>
                      <w:szCs w:val="24"/>
                    </w:rPr>
                  </w:pPr>
                  <w:r w:rsidRPr="00897118">
                    <w:rPr>
                      <w:rFonts w:ascii="Arial" w:hAnsi="Arial" w:cs="Arial"/>
                      <w:sz w:val="24"/>
                      <w:szCs w:val="24"/>
                    </w:rPr>
                    <w:t>2014/15</w:t>
                  </w:r>
                </w:p>
                <w:p w:rsidR="00D13C02" w:rsidRPr="00897118" w:rsidRDefault="00D13C02" w:rsidP="00EB3653">
                  <w:pPr>
                    <w:jc w:val="both"/>
                    <w:rPr>
                      <w:rFonts w:ascii="Arial" w:hAnsi="Arial" w:cs="Arial"/>
                      <w:sz w:val="24"/>
                      <w:szCs w:val="24"/>
                    </w:rPr>
                  </w:pPr>
                  <w:r w:rsidRPr="00897118">
                    <w:rPr>
                      <w:rFonts w:ascii="Arial" w:hAnsi="Arial" w:cs="Arial"/>
                      <w:sz w:val="24"/>
                      <w:szCs w:val="24"/>
                    </w:rPr>
                    <w:t>Vs</w:t>
                  </w:r>
                </w:p>
                <w:p w:rsidR="00D13C02" w:rsidRPr="00897118" w:rsidRDefault="00D13C02" w:rsidP="00EB3653">
                  <w:pPr>
                    <w:jc w:val="both"/>
                    <w:rPr>
                      <w:rFonts w:ascii="Arial" w:hAnsi="Arial" w:cs="Arial"/>
                      <w:sz w:val="24"/>
                      <w:szCs w:val="24"/>
                    </w:rPr>
                  </w:pPr>
                  <w:r w:rsidRPr="00897118">
                    <w:rPr>
                      <w:rFonts w:ascii="Arial" w:hAnsi="Arial" w:cs="Arial"/>
                      <w:sz w:val="24"/>
                      <w:szCs w:val="24"/>
                    </w:rPr>
                    <w:t>2013/14</w:t>
                  </w:r>
                </w:p>
              </w:tc>
            </w:tr>
            <w:tr w:rsidR="00D13C02" w:rsidRPr="00EC1EB8" w:rsidTr="004B5FB3">
              <w:tc>
                <w:tcPr>
                  <w:tcW w:w="492" w:type="dxa"/>
                </w:tcPr>
                <w:p w:rsidR="00D13C02" w:rsidRPr="00EC1EB8" w:rsidRDefault="00D13C02" w:rsidP="00465B86">
                  <w:pPr>
                    <w:jc w:val="both"/>
                    <w:rPr>
                      <w:rFonts w:ascii="Arial" w:hAnsi="Arial" w:cs="Arial"/>
                      <w:sz w:val="24"/>
                      <w:szCs w:val="24"/>
                    </w:rPr>
                  </w:pPr>
                  <w:r w:rsidRPr="00EC1EB8">
                    <w:rPr>
                      <w:rFonts w:ascii="Arial" w:hAnsi="Arial" w:cs="Arial"/>
                      <w:b/>
                      <w:sz w:val="24"/>
                      <w:szCs w:val="24"/>
                    </w:rPr>
                    <w:sym w:font="Wingdings" w:char="F0FC"/>
                  </w:r>
                </w:p>
              </w:tc>
              <w:tc>
                <w:tcPr>
                  <w:tcW w:w="6225" w:type="dxa"/>
                </w:tcPr>
                <w:p w:rsidR="00D13C02" w:rsidRPr="00EC1EB8" w:rsidRDefault="00D13C02" w:rsidP="00465B86">
                  <w:pPr>
                    <w:jc w:val="both"/>
                    <w:rPr>
                      <w:rFonts w:ascii="Arial" w:hAnsi="Arial" w:cs="Arial"/>
                      <w:sz w:val="24"/>
                      <w:szCs w:val="24"/>
                    </w:rPr>
                  </w:pPr>
                  <w:r w:rsidRPr="00EC1EB8">
                    <w:rPr>
                      <w:rFonts w:ascii="Arial" w:hAnsi="Arial" w:cs="Arial"/>
                      <w:sz w:val="24"/>
                      <w:szCs w:val="24"/>
                    </w:rPr>
                    <w:t>performance has improved by 5% or more.</w:t>
                  </w:r>
                </w:p>
              </w:tc>
              <w:tc>
                <w:tcPr>
                  <w:tcW w:w="1084" w:type="dxa"/>
                </w:tcPr>
                <w:p w:rsidR="00D13C02" w:rsidRPr="00265B46" w:rsidRDefault="00D13C02" w:rsidP="00D63C44">
                  <w:pPr>
                    <w:jc w:val="both"/>
                    <w:rPr>
                      <w:rFonts w:ascii="Arial" w:hAnsi="Arial" w:cs="Arial"/>
                      <w:sz w:val="24"/>
                      <w:szCs w:val="24"/>
                    </w:rPr>
                  </w:pPr>
                  <w:r w:rsidRPr="00265B46">
                    <w:rPr>
                      <w:rFonts w:ascii="Arial" w:hAnsi="Arial" w:cs="Arial"/>
                      <w:sz w:val="24"/>
                      <w:szCs w:val="24"/>
                    </w:rPr>
                    <w:t>32</w:t>
                  </w:r>
                </w:p>
              </w:tc>
              <w:tc>
                <w:tcPr>
                  <w:tcW w:w="1084" w:type="dxa"/>
                </w:tcPr>
                <w:p w:rsidR="00D13C02" w:rsidRPr="00897118" w:rsidRDefault="00FD27F5" w:rsidP="00D63C44">
                  <w:pPr>
                    <w:jc w:val="both"/>
                    <w:rPr>
                      <w:rFonts w:ascii="Arial" w:hAnsi="Arial" w:cs="Arial"/>
                      <w:sz w:val="24"/>
                      <w:szCs w:val="24"/>
                    </w:rPr>
                  </w:pPr>
                  <w:r w:rsidRPr="00897118">
                    <w:rPr>
                      <w:rFonts w:ascii="Arial" w:hAnsi="Arial" w:cs="Arial"/>
                      <w:sz w:val="24"/>
                      <w:szCs w:val="24"/>
                    </w:rPr>
                    <w:t>52</w:t>
                  </w:r>
                </w:p>
              </w:tc>
            </w:tr>
            <w:tr w:rsidR="00D13C02" w:rsidRPr="00EC1EB8" w:rsidTr="004B5FB3">
              <w:tc>
                <w:tcPr>
                  <w:tcW w:w="492" w:type="dxa"/>
                </w:tcPr>
                <w:p w:rsidR="00D13C02" w:rsidRPr="00EC1EB8" w:rsidRDefault="00D13C02" w:rsidP="00465B86">
                  <w:pPr>
                    <w:jc w:val="both"/>
                    <w:rPr>
                      <w:rFonts w:ascii="Arial" w:hAnsi="Arial" w:cs="Arial"/>
                      <w:sz w:val="24"/>
                      <w:szCs w:val="24"/>
                    </w:rPr>
                  </w:pPr>
                  <w:r w:rsidRPr="00EC1EB8">
                    <w:rPr>
                      <w:rFonts w:ascii="Arial" w:hAnsi="Arial" w:cs="Arial"/>
                      <w:b/>
                      <w:sz w:val="24"/>
                      <w:szCs w:val="24"/>
                    </w:rPr>
                    <w:t>X</w:t>
                  </w:r>
                </w:p>
              </w:tc>
              <w:tc>
                <w:tcPr>
                  <w:tcW w:w="6225" w:type="dxa"/>
                </w:tcPr>
                <w:p w:rsidR="00D13C02" w:rsidRPr="00EC1EB8" w:rsidRDefault="00D13C02" w:rsidP="00465B86">
                  <w:pPr>
                    <w:jc w:val="both"/>
                    <w:rPr>
                      <w:rFonts w:ascii="Arial" w:hAnsi="Arial" w:cs="Arial"/>
                      <w:sz w:val="24"/>
                      <w:szCs w:val="24"/>
                    </w:rPr>
                  </w:pPr>
                  <w:r w:rsidRPr="00EC1EB8">
                    <w:rPr>
                      <w:rFonts w:ascii="Arial" w:hAnsi="Arial" w:cs="Arial"/>
                      <w:sz w:val="24"/>
                      <w:szCs w:val="24"/>
                    </w:rPr>
                    <w:t>performance has declined by 5% or more.</w:t>
                  </w:r>
                </w:p>
              </w:tc>
              <w:tc>
                <w:tcPr>
                  <w:tcW w:w="1084" w:type="dxa"/>
                </w:tcPr>
                <w:p w:rsidR="00D13C02" w:rsidRPr="00265B46" w:rsidRDefault="00D13C02" w:rsidP="00465B86">
                  <w:pPr>
                    <w:jc w:val="both"/>
                    <w:rPr>
                      <w:rFonts w:ascii="Arial" w:hAnsi="Arial" w:cs="Arial"/>
                      <w:sz w:val="24"/>
                      <w:szCs w:val="24"/>
                    </w:rPr>
                  </w:pPr>
                  <w:r w:rsidRPr="00265B46">
                    <w:rPr>
                      <w:rFonts w:ascii="Arial" w:hAnsi="Arial" w:cs="Arial"/>
                      <w:sz w:val="24"/>
                      <w:szCs w:val="24"/>
                    </w:rPr>
                    <w:t>31</w:t>
                  </w:r>
                </w:p>
              </w:tc>
              <w:tc>
                <w:tcPr>
                  <w:tcW w:w="1084" w:type="dxa"/>
                </w:tcPr>
                <w:p w:rsidR="00D13C02" w:rsidRPr="00897118" w:rsidRDefault="00186485" w:rsidP="00465B86">
                  <w:pPr>
                    <w:jc w:val="both"/>
                    <w:rPr>
                      <w:rFonts w:ascii="Arial" w:hAnsi="Arial" w:cs="Arial"/>
                      <w:sz w:val="24"/>
                      <w:szCs w:val="24"/>
                    </w:rPr>
                  </w:pPr>
                  <w:r w:rsidRPr="00897118">
                    <w:rPr>
                      <w:rFonts w:ascii="Arial" w:hAnsi="Arial" w:cs="Arial"/>
                      <w:sz w:val="24"/>
                      <w:szCs w:val="24"/>
                    </w:rPr>
                    <w:t>3</w:t>
                  </w:r>
                  <w:r w:rsidR="00FD4FED" w:rsidRPr="00897118">
                    <w:rPr>
                      <w:rFonts w:ascii="Arial" w:hAnsi="Arial" w:cs="Arial"/>
                      <w:sz w:val="24"/>
                      <w:szCs w:val="24"/>
                    </w:rPr>
                    <w:t>2</w:t>
                  </w:r>
                </w:p>
              </w:tc>
            </w:tr>
            <w:tr w:rsidR="00D13C02" w:rsidRPr="00EC1EB8" w:rsidTr="004B5FB3">
              <w:tc>
                <w:tcPr>
                  <w:tcW w:w="492" w:type="dxa"/>
                  <w:tcBorders>
                    <w:bottom w:val="single" w:sz="4" w:space="0" w:color="auto"/>
                  </w:tcBorders>
                </w:tcPr>
                <w:p w:rsidR="00D13C02" w:rsidRPr="00EC1EB8" w:rsidRDefault="00096D0C" w:rsidP="00465B86">
                  <w:pPr>
                    <w:jc w:val="both"/>
                    <w:rPr>
                      <w:rFonts w:ascii="Arial" w:hAnsi="Arial" w:cs="Arial"/>
                      <w:sz w:val="24"/>
                      <w:szCs w:val="24"/>
                    </w:rPr>
                  </w:pPr>
                  <w:r>
                    <w:rPr>
                      <w:rFonts w:ascii="Arial" w:hAnsi="Arial" w:cs="Arial"/>
                      <w:b/>
                      <w:sz w:val="24"/>
                      <w:szCs w:val="24"/>
                    </w:rPr>
                    <w:t>=</w:t>
                  </w:r>
                </w:p>
              </w:tc>
              <w:tc>
                <w:tcPr>
                  <w:tcW w:w="6225" w:type="dxa"/>
                </w:tcPr>
                <w:p w:rsidR="00D13C02" w:rsidRPr="00EC1EB8" w:rsidRDefault="00D13C02" w:rsidP="00465B86">
                  <w:pPr>
                    <w:jc w:val="both"/>
                    <w:rPr>
                      <w:rFonts w:ascii="Arial" w:hAnsi="Arial" w:cs="Arial"/>
                      <w:sz w:val="24"/>
                      <w:szCs w:val="24"/>
                    </w:rPr>
                  </w:pPr>
                  <w:r w:rsidRPr="00EC1EB8">
                    <w:rPr>
                      <w:rFonts w:ascii="Arial" w:hAnsi="Arial" w:cs="Arial"/>
                      <w:sz w:val="24"/>
                      <w:szCs w:val="24"/>
                    </w:rPr>
                    <w:t xml:space="preserve">there is no significant change in performance </w:t>
                  </w:r>
                </w:p>
              </w:tc>
              <w:tc>
                <w:tcPr>
                  <w:tcW w:w="1084" w:type="dxa"/>
                </w:tcPr>
                <w:p w:rsidR="00D13C02" w:rsidRPr="00265B46" w:rsidRDefault="00D13C02" w:rsidP="00465B86">
                  <w:pPr>
                    <w:jc w:val="both"/>
                    <w:rPr>
                      <w:rFonts w:ascii="Arial" w:hAnsi="Arial" w:cs="Arial"/>
                      <w:sz w:val="24"/>
                      <w:szCs w:val="24"/>
                    </w:rPr>
                  </w:pPr>
                  <w:r w:rsidRPr="00265B46">
                    <w:rPr>
                      <w:rFonts w:ascii="Arial" w:hAnsi="Arial" w:cs="Arial"/>
                      <w:sz w:val="24"/>
                      <w:szCs w:val="24"/>
                    </w:rPr>
                    <w:t>50</w:t>
                  </w:r>
                </w:p>
              </w:tc>
              <w:tc>
                <w:tcPr>
                  <w:tcW w:w="1084" w:type="dxa"/>
                </w:tcPr>
                <w:p w:rsidR="00D13C02" w:rsidRPr="00897118" w:rsidRDefault="00186485" w:rsidP="00465B86">
                  <w:pPr>
                    <w:jc w:val="both"/>
                    <w:rPr>
                      <w:rFonts w:ascii="Arial" w:hAnsi="Arial" w:cs="Arial"/>
                      <w:sz w:val="24"/>
                      <w:szCs w:val="24"/>
                    </w:rPr>
                  </w:pPr>
                  <w:r w:rsidRPr="00897118">
                    <w:rPr>
                      <w:rFonts w:ascii="Arial" w:hAnsi="Arial" w:cs="Arial"/>
                      <w:sz w:val="24"/>
                      <w:szCs w:val="24"/>
                    </w:rPr>
                    <w:t>58</w:t>
                  </w:r>
                </w:p>
              </w:tc>
            </w:tr>
            <w:tr w:rsidR="00D13C02" w:rsidRPr="00EC1EB8" w:rsidTr="004B5FB3">
              <w:tc>
                <w:tcPr>
                  <w:tcW w:w="492" w:type="dxa"/>
                  <w:shd w:val="clear" w:color="auto" w:fill="A6A6A6"/>
                </w:tcPr>
                <w:p w:rsidR="00D13C02" w:rsidRPr="00EC1EB8" w:rsidRDefault="00D13C02" w:rsidP="00465B86">
                  <w:pPr>
                    <w:jc w:val="both"/>
                    <w:rPr>
                      <w:rFonts w:ascii="Arial" w:hAnsi="Arial" w:cs="Arial"/>
                      <w:sz w:val="24"/>
                      <w:szCs w:val="24"/>
                    </w:rPr>
                  </w:pPr>
                </w:p>
              </w:tc>
              <w:tc>
                <w:tcPr>
                  <w:tcW w:w="6225" w:type="dxa"/>
                </w:tcPr>
                <w:p w:rsidR="00D13C02" w:rsidRPr="00EC1EB8" w:rsidRDefault="00D13C02" w:rsidP="00465B86">
                  <w:pPr>
                    <w:jc w:val="both"/>
                    <w:rPr>
                      <w:rFonts w:ascii="Arial" w:hAnsi="Arial" w:cs="Arial"/>
                      <w:sz w:val="24"/>
                      <w:szCs w:val="24"/>
                    </w:rPr>
                  </w:pPr>
                  <w:r w:rsidRPr="00EC1EB8">
                    <w:rPr>
                      <w:rFonts w:ascii="Arial" w:hAnsi="Arial" w:cs="Arial"/>
                      <w:sz w:val="24"/>
                      <w:szCs w:val="24"/>
                    </w:rPr>
                    <w:t>the indicator is new / changed / unreliable/</w:t>
                  </w:r>
                  <w:r>
                    <w:rPr>
                      <w:rFonts w:ascii="Arial" w:hAnsi="Arial" w:cs="Arial"/>
                      <w:sz w:val="24"/>
                      <w:szCs w:val="24"/>
                    </w:rPr>
                    <w:t xml:space="preserve"> </w:t>
                  </w:r>
                  <w:r w:rsidRPr="00EC1EB8">
                    <w:rPr>
                      <w:rFonts w:ascii="Arial" w:hAnsi="Arial" w:cs="Arial"/>
                      <w:sz w:val="24"/>
                      <w:szCs w:val="24"/>
                    </w:rPr>
                    <w:t>no comparison is possible / for contextual purposes only.</w:t>
                  </w:r>
                </w:p>
              </w:tc>
              <w:tc>
                <w:tcPr>
                  <w:tcW w:w="1084" w:type="dxa"/>
                </w:tcPr>
                <w:p w:rsidR="00D13C02" w:rsidRPr="00265B46" w:rsidRDefault="00D13C02" w:rsidP="00465B86">
                  <w:pPr>
                    <w:jc w:val="both"/>
                    <w:rPr>
                      <w:rFonts w:ascii="Arial" w:hAnsi="Arial" w:cs="Arial"/>
                      <w:sz w:val="24"/>
                      <w:szCs w:val="24"/>
                    </w:rPr>
                  </w:pPr>
                  <w:r w:rsidRPr="00265B46">
                    <w:rPr>
                      <w:rFonts w:ascii="Arial" w:hAnsi="Arial" w:cs="Arial"/>
                      <w:sz w:val="24"/>
                      <w:szCs w:val="24"/>
                    </w:rPr>
                    <w:t>38</w:t>
                  </w:r>
                </w:p>
              </w:tc>
              <w:tc>
                <w:tcPr>
                  <w:tcW w:w="1084" w:type="dxa"/>
                </w:tcPr>
                <w:p w:rsidR="00D13C02" w:rsidRPr="00897118" w:rsidRDefault="00186485" w:rsidP="00465B86">
                  <w:pPr>
                    <w:jc w:val="both"/>
                    <w:rPr>
                      <w:rFonts w:ascii="Arial" w:hAnsi="Arial" w:cs="Arial"/>
                      <w:sz w:val="24"/>
                      <w:szCs w:val="24"/>
                    </w:rPr>
                  </w:pPr>
                  <w:r w:rsidRPr="00897118">
                    <w:rPr>
                      <w:rFonts w:ascii="Arial" w:hAnsi="Arial" w:cs="Arial"/>
                      <w:sz w:val="24"/>
                      <w:szCs w:val="24"/>
                    </w:rPr>
                    <w:t>6</w:t>
                  </w:r>
                </w:p>
              </w:tc>
            </w:tr>
          </w:tbl>
          <w:p w:rsidR="00C67EBD" w:rsidRPr="00EC1EB8" w:rsidRDefault="00C67EBD" w:rsidP="00C67EBD">
            <w:pPr>
              <w:jc w:val="both"/>
              <w:rPr>
                <w:rFonts w:ascii="Arial" w:hAnsi="Arial" w:cs="Arial"/>
                <w:sz w:val="24"/>
                <w:szCs w:val="24"/>
              </w:rPr>
            </w:pPr>
          </w:p>
        </w:tc>
      </w:tr>
      <w:tr w:rsidR="00C67EBD" w:rsidRPr="0043501F" w:rsidTr="004B5FB3">
        <w:tc>
          <w:tcPr>
            <w:tcW w:w="817" w:type="dxa"/>
          </w:tcPr>
          <w:p w:rsidR="00C67EBD" w:rsidRDefault="00C67EBD" w:rsidP="00495CAC">
            <w:pPr>
              <w:jc w:val="both"/>
              <w:rPr>
                <w:rFonts w:ascii="Arial" w:hAnsi="Arial" w:cs="Arial"/>
                <w:sz w:val="24"/>
                <w:szCs w:val="24"/>
              </w:rPr>
            </w:pPr>
          </w:p>
        </w:tc>
        <w:tc>
          <w:tcPr>
            <w:tcW w:w="9505" w:type="dxa"/>
          </w:tcPr>
          <w:p w:rsidR="00C67EBD" w:rsidRPr="00EC1EB8" w:rsidRDefault="00C67EBD" w:rsidP="00495CAC">
            <w:pPr>
              <w:rPr>
                <w:rFonts w:ascii="Arial" w:hAnsi="Arial" w:cs="Arial"/>
                <w:b/>
                <w:sz w:val="24"/>
                <w:szCs w:val="24"/>
              </w:rPr>
            </w:pPr>
          </w:p>
        </w:tc>
      </w:tr>
      <w:tr w:rsidR="00495CAC" w:rsidRPr="0043501F" w:rsidTr="004B5FB3">
        <w:trPr>
          <w:trHeight w:val="204"/>
        </w:trPr>
        <w:tc>
          <w:tcPr>
            <w:tcW w:w="817" w:type="dxa"/>
          </w:tcPr>
          <w:p w:rsidR="00495CAC" w:rsidRPr="00EC1EB8" w:rsidRDefault="004F0868" w:rsidP="00495CAC">
            <w:pPr>
              <w:jc w:val="both"/>
              <w:rPr>
                <w:rFonts w:ascii="Arial" w:hAnsi="Arial" w:cs="Arial"/>
                <w:sz w:val="24"/>
                <w:szCs w:val="24"/>
              </w:rPr>
            </w:pPr>
            <w:r>
              <w:rPr>
                <w:rFonts w:ascii="Arial" w:hAnsi="Arial" w:cs="Arial"/>
                <w:sz w:val="24"/>
                <w:szCs w:val="24"/>
              </w:rPr>
              <w:t>2.5</w:t>
            </w:r>
          </w:p>
          <w:p w:rsidR="00495CAC" w:rsidRDefault="00495CAC" w:rsidP="007D37ED">
            <w:pPr>
              <w:rPr>
                <w:rFonts w:ascii="Arial" w:hAnsi="Arial" w:cs="Arial"/>
                <w:sz w:val="24"/>
                <w:szCs w:val="24"/>
              </w:rPr>
            </w:pPr>
          </w:p>
        </w:tc>
        <w:tc>
          <w:tcPr>
            <w:tcW w:w="9505" w:type="dxa"/>
          </w:tcPr>
          <w:p w:rsidR="00495CAC" w:rsidRPr="004E7889" w:rsidRDefault="00495CAC" w:rsidP="00495CAC">
            <w:pPr>
              <w:rPr>
                <w:rFonts w:ascii="Arial" w:hAnsi="Arial" w:cs="Arial"/>
                <w:sz w:val="24"/>
                <w:szCs w:val="24"/>
              </w:rPr>
            </w:pPr>
            <w:r w:rsidRPr="004E7889">
              <w:rPr>
                <w:rFonts w:ascii="Arial" w:hAnsi="Arial" w:cs="Arial"/>
                <w:sz w:val="24"/>
                <w:szCs w:val="24"/>
              </w:rPr>
              <w:t>In line with Audit Scotland reporting, only those indicators moving by more than 5% are highlighted</w:t>
            </w:r>
            <w:r w:rsidR="007D0C94" w:rsidRPr="004E7889">
              <w:rPr>
                <w:rFonts w:ascii="Arial" w:hAnsi="Arial" w:cs="Arial"/>
                <w:sz w:val="24"/>
                <w:szCs w:val="24"/>
              </w:rPr>
              <w:t xml:space="preserve"> (Appendix 1)</w:t>
            </w:r>
            <w:r w:rsidRPr="004E7889">
              <w:rPr>
                <w:rFonts w:ascii="Arial" w:hAnsi="Arial" w:cs="Arial"/>
                <w:sz w:val="24"/>
                <w:szCs w:val="24"/>
              </w:rPr>
              <w:t>. This is a recognised statistical technique used to ensure that any difference between the variables is real and not due to natural variation which is inevitable but not significant. These will be considered more fully in Strategic Committees</w:t>
            </w:r>
            <w:r w:rsidR="00782EA3" w:rsidRPr="004E7889">
              <w:rPr>
                <w:rFonts w:ascii="Arial" w:hAnsi="Arial" w:cs="Arial"/>
                <w:sz w:val="24"/>
                <w:szCs w:val="24"/>
              </w:rPr>
              <w:t>.</w:t>
            </w:r>
            <w:r w:rsidR="00E50C74" w:rsidRPr="004E7889">
              <w:rPr>
                <w:rFonts w:ascii="Arial" w:hAnsi="Arial" w:cs="Arial"/>
                <w:sz w:val="24"/>
                <w:szCs w:val="24"/>
              </w:rPr>
              <w:t xml:space="preserve"> A summary is provided below of </w:t>
            </w:r>
            <w:r w:rsidR="006E049C" w:rsidRPr="004E7889">
              <w:rPr>
                <w:rFonts w:ascii="Arial" w:hAnsi="Arial" w:cs="Arial"/>
                <w:sz w:val="24"/>
                <w:szCs w:val="24"/>
              </w:rPr>
              <w:t>areas which have</w:t>
            </w:r>
            <w:r w:rsidR="00E50C74" w:rsidRPr="004E7889">
              <w:rPr>
                <w:rFonts w:ascii="Arial" w:hAnsi="Arial" w:cs="Arial"/>
                <w:sz w:val="24"/>
                <w:szCs w:val="24"/>
              </w:rPr>
              <w:t xml:space="preserve"> shown significant change of +/-10%.</w:t>
            </w:r>
          </w:p>
          <w:p w:rsidR="00495CAC" w:rsidRPr="004E7889" w:rsidRDefault="00495CAC" w:rsidP="00A66D29">
            <w:pPr>
              <w:rPr>
                <w:rFonts w:ascii="Arial" w:hAnsi="Arial" w:cs="Arial"/>
                <w:sz w:val="24"/>
                <w:szCs w:val="24"/>
              </w:rPr>
            </w:pPr>
          </w:p>
        </w:tc>
      </w:tr>
      <w:tr w:rsidR="00A66D29" w:rsidRPr="0043501F" w:rsidTr="004B5FB3">
        <w:trPr>
          <w:trHeight w:val="204"/>
        </w:trPr>
        <w:tc>
          <w:tcPr>
            <w:tcW w:w="817" w:type="dxa"/>
          </w:tcPr>
          <w:p w:rsidR="006E5BD8" w:rsidRDefault="00495CAC" w:rsidP="007D37ED">
            <w:pPr>
              <w:rPr>
                <w:rFonts w:ascii="Arial" w:hAnsi="Arial" w:cs="Arial"/>
                <w:sz w:val="24"/>
                <w:szCs w:val="24"/>
              </w:rPr>
            </w:pPr>
            <w:r>
              <w:rPr>
                <w:rFonts w:ascii="Arial" w:hAnsi="Arial" w:cs="Arial"/>
                <w:sz w:val="24"/>
                <w:szCs w:val="24"/>
              </w:rPr>
              <w:t>2.</w:t>
            </w:r>
            <w:r w:rsidR="004F0868">
              <w:rPr>
                <w:rFonts w:ascii="Arial" w:hAnsi="Arial" w:cs="Arial"/>
                <w:sz w:val="24"/>
                <w:szCs w:val="24"/>
              </w:rPr>
              <w:t>6</w:t>
            </w:r>
          </w:p>
        </w:tc>
        <w:tc>
          <w:tcPr>
            <w:tcW w:w="9505" w:type="dxa"/>
          </w:tcPr>
          <w:p w:rsidR="00A66D29" w:rsidRPr="004E7889" w:rsidRDefault="00E51D79" w:rsidP="00A66D29">
            <w:pPr>
              <w:rPr>
                <w:rFonts w:ascii="Arial" w:hAnsi="Arial" w:cs="Arial"/>
                <w:sz w:val="24"/>
                <w:szCs w:val="24"/>
              </w:rPr>
            </w:pPr>
            <w:r w:rsidRPr="004E7889">
              <w:rPr>
                <w:rFonts w:ascii="Arial" w:hAnsi="Arial" w:cs="Arial"/>
                <w:sz w:val="24"/>
                <w:szCs w:val="24"/>
              </w:rPr>
              <w:t xml:space="preserve">Area which show improvement by </w:t>
            </w:r>
            <w:r w:rsidR="00E50C74" w:rsidRPr="004E7889">
              <w:rPr>
                <w:rFonts w:ascii="Arial" w:hAnsi="Arial" w:cs="Arial"/>
                <w:sz w:val="24"/>
                <w:szCs w:val="24"/>
              </w:rPr>
              <w:t>10</w:t>
            </w:r>
            <w:r w:rsidRPr="004E7889">
              <w:rPr>
                <w:rFonts w:ascii="Arial" w:hAnsi="Arial" w:cs="Arial"/>
                <w:sz w:val="24"/>
                <w:szCs w:val="24"/>
              </w:rPr>
              <w:t xml:space="preserve">% </w:t>
            </w:r>
            <w:r w:rsidR="00E50C74" w:rsidRPr="004E7889">
              <w:rPr>
                <w:rFonts w:ascii="Arial" w:hAnsi="Arial" w:cs="Arial"/>
                <w:sz w:val="24"/>
                <w:szCs w:val="24"/>
              </w:rPr>
              <w:t xml:space="preserve">or more </w:t>
            </w:r>
            <w:r w:rsidR="00BF0602" w:rsidRPr="004E7889">
              <w:rPr>
                <w:rFonts w:ascii="Arial" w:hAnsi="Arial" w:cs="Arial"/>
                <w:sz w:val="24"/>
                <w:szCs w:val="24"/>
              </w:rPr>
              <w:t>between 201</w:t>
            </w:r>
            <w:r w:rsidR="00446022" w:rsidRPr="004E7889">
              <w:rPr>
                <w:rFonts w:ascii="Arial" w:hAnsi="Arial" w:cs="Arial"/>
                <w:sz w:val="24"/>
                <w:szCs w:val="24"/>
              </w:rPr>
              <w:t>3/14</w:t>
            </w:r>
            <w:r w:rsidR="00BF0602" w:rsidRPr="004E7889">
              <w:rPr>
                <w:rFonts w:ascii="Arial" w:hAnsi="Arial" w:cs="Arial"/>
                <w:sz w:val="24"/>
                <w:szCs w:val="24"/>
              </w:rPr>
              <w:t xml:space="preserve"> and 201</w:t>
            </w:r>
            <w:r w:rsidR="00446022" w:rsidRPr="004E7889">
              <w:rPr>
                <w:rFonts w:ascii="Arial" w:hAnsi="Arial" w:cs="Arial"/>
                <w:sz w:val="24"/>
                <w:szCs w:val="24"/>
              </w:rPr>
              <w:t>4</w:t>
            </w:r>
            <w:r w:rsidR="00BF0602" w:rsidRPr="004E7889">
              <w:rPr>
                <w:rFonts w:ascii="Arial" w:hAnsi="Arial" w:cs="Arial"/>
                <w:sz w:val="24"/>
                <w:szCs w:val="24"/>
              </w:rPr>
              <w:t>/1</w:t>
            </w:r>
            <w:r w:rsidR="00446022" w:rsidRPr="004E7889">
              <w:rPr>
                <w:rFonts w:ascii="Arial" w:hAnsi="Arial" w:cs="Arial"/>
                <w:sz w:val="24"/>
                <w:szCs w:val="24"/>
              </w:rPr>
              <w:t>5</w:t>
            </w:r>
            <w:r w:rsidR="00BF0602" w:rsidRPr="004E7889">
              <w:rPr>
                <w:rFonts w:ascii="Arial" w:hAnsi="Arial" w:cs="Arial"/>
                <w:sz w:val="24"/>
                <w:szCs w:val="24"/>
              </w:rPr>
              <w:t xml:space="preserve"> </w:t>
            </w:r>
            <w:r w:rsidR="0068462E" w:rsidRPr="004E7889">
              <w:rPr>
                <w:rFonts w:ascii="Arial" w:hAnsi="Arial" w:cs="Arial"/>
                <w:sz w:val="24"/>
                <w:szCs w:val="24"/>
              </w:rPr>
              <w:t>are</w:t>
            </w:r>
            <w:r w:rsidRPr="004E7889">
              <w:rPr>
                <w:rFonts w:ascii="Arial" w:hAnsi="Arial" w:cs="Arial"/>
                <w:sz w:val="24"/>
                <w:szCs w:val="24"/>
              </w:rPr>
              <w:t>:</w:t>
            </w:r>
          </w:p>
          <w:p w:rsidR="00FC08B1" w:rsidRPr="004E7889" w:rsidRDefault="00FC08B1" w:rsidP="00A66D29">
            <w:pPr>
              <w:rPr>
                <w:rFonts w:ascii="Arial" w:hAnsi="Arial" w:cs="Arial"/>
                <w:sz w:val="24"/>
                <w:szCs w:val="24"/>
              </w:rPr>
            </w:pPr>
            <w:r w:rsidRPr="004E7889">
              <w:rPr>
                <w:rFonts w:ascii="Arial" w:hAnsi="Arial" w:cs="Arial"/>
                <w:sz w:val="24"/>
                <w:szCs w:val="24"/>
              </w:rPr>
              <w:t xml:space="preserve">Care </w:t>
            </w:r>
            <w:r w:rsidR="00A63691" w:rsidRPr="004E7889">
              <w:rPr>
                <w:rFonts w:ascii="Arial" w:hAnsi="Arial" w:cs="Arial"/>
                <w:sz w:val="24"/>
                <w:szCs w:val="24"/>
              </w:rPr>
              <w:t>&amp;</w:t>
            </w:r>
            <w:r w:rsidRPr="004E7889">
              <w:rPr>
                <w:rFonts w:ascii="Arial" w:hAnsi="Arial" w:cs="Arial"/>
                <w:sz w:val="24"/>
                <w:szCs w:val="24"/>
              </w:rPr>
              <w:t xml:space="preserve"> Learning</w:t>
            </w:r>
          </w:p>
          <w:p w:rsidR="00186485" w:rsidRPr="004E7889" w:rsidRDefault="009B41ED"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per museum visit has reduced from £2.32 to £2.10</w:t>
            </w:r>
          </w:p>
          <w:p w:rsidR="00F03ACC" w:rsidRPr="004E7889" w:rsidRDefault="00F03ACC"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visits</w:t>
            </w:r>
            <w:r w:rsidR="00B27A68" w:rsidRPr="004E7889">
              <w:rPr>
                <w:rFonts w:ascii="Arial" w:hAnsi="Arial" w:cs="Arial"/>
                <w:sz w:val="24"/>
                <w:szCs w:val="24"/>
              </w:rPr>
              <w:t>/usage of</w:t>
            </w:r>
            <w:r w:rsidRPr="004E7889">
              <w:rPr>
                <w:rFonts w:ascii="Arial" w:hAnsi="Arial" w:cs="Arial"/>
                <w:sz w:val="24"/>
                <w:szCs w:val="24"/>
              </w:rPr>
              <w:t xml:space="preserve"> museums in person or virtually increased from 2,419 to 2,954 </w:t>
            </w:r>
          </w:p>
          <w:p w:rsidR="00B27A68" w:rsidRPr="004E7889" w:rsidRDefault="00B27A68"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visits/usage to museums in person increased from 1,339 to 1,495</w:t>
            </w:r>
          </w:p>
          <w:p w:rsidR="00AB7384" w:rsidRPr="004E7889" w:rsidRDefault="00C06C51"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new Community Payback Order</w:t>
            </w:r>
            <w:r w:rsidR="00052427" w:rsidRPr="004E7889">
              <w:rPr>
                <w:rFonts w:ascii="Arial" w:hAnsi="Arial" w:cs="Arial"/>
                <w:sz w:val="24"/>
                <w:szCs w:val="24"/>
              </w:rPr>
              <w:t>s</w:t>
            </w:r>
            <w:r w:rsidRPr="004E7889">
              <w:rPr>
                <w:rFonts w:ascii="Arial" w:hAnsi="Arial" w:cs="Arial"/>
                <w:sz w:val="24"/>
                <w:szCs w:val="24"/>
              </w:rPr>
              <w:t xml:space="preserve"> seen within 5 working days increased from 64.6% to 76.0%</w:t>
            </w:r>
          </w:p>
          <w:p w:rsidR="00572AA3" w:rsidRPr="004E7889" w:rsidRDefault="00572AA3"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offence based referrals to Scottish Children’s Reporter Administration (SCRA) reduced from 417 to 343</w:t>
            </w:r>
          </w:p>
          <w:p w:rsidR="000E7026" w:rsidRPr="004E7889" w:rsidRDefault="000E7026"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direct payments spend on 18+ adults increased from 3.1% to 4.2%</w:t>
            </w:r>
          </w:p>
          <w:p w:rsidR="008E51F2" w:rsidRPr="004E7889" w:rsidRDefault="008E51F2"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persistent young offenders with 5+ referrals has reduced from 6 to 2</w:t>
            </w:r>
          </w:p>
          <w:p w:rsidR="008E51F2" w:rsidRPr="004E7889" w:rsidRDefault="008E51F2"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proportion of children on the child protection register previously registered has fallen from 5.31% to 3.67%</w:t>
            </w:r>
          </w:p>
          <w:p w:rsidR="0048714F" w:rsidRPr="004E7889" w:rsidRDefault="0048714F" w:rsidP="0048714F">
            <w:pPr>
              <w:rPr>
                <w:rFonts w:ascii="Arial" w:hAnsi="Arial" w:cs="Arial"/>
                <w:sz w:val="24"/>
                <w:szCs w:val="24"/>
              </w:rPr>
            </w:pPr>
            <w:r w:rsidRPr="004E7889">
              <w:rPr>
                <w:rFonts w:ascii="Arial" w:hAnsi="Arial" w:cs="Arial"/>
                <w:sz w:val="24"/>
                <w:szCs w:val="24"/>
              </w:rPr>
              <w:t>Community Services</w:t>
            </w:r>
          </w:p>
          <w:p w:rsidR="00C06C51" w:rsidRPr="004E7889" w:rsidRDefault="0048714F"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average time to complete an emergency council house repair reduced from 14.5 hours to 9.1 hours</w:t>
            </w:r>
          </w:p>
          <w:p w:rsidR="0048714F" w:rsidRPr="004E7889" w:rsidRDefault="0048714F"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average time to complete a non-emergency council house repair reduced from 8.7 days to 7.3 days</w:t>
            </w:r>
          </w:p>
          <w:p w:rsidR="0048714F" w:rsidRPr="004E7889" w:rsidRDefault="0048714F"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tenancy offers refused reduced from 35.8% to 28.9%</w:t>
            </w:r>
          </w:p>
          <w:p w:rsidR="0048714F" w:rsidRPr="004E7889" w:rsidRDefault="0048714F"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rent lost through voids reduced from 1.2% to 0.9%</w:t>
            </w:r>
          </w:p>
          <w:p w:rsidR="002C3327" w:rsidRPr="004E7889" w:rsidRDefault="002C3327"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Anti-social Behaviour cases reported and resolved increased from 67.5% to 76.3%</w:t>
            </w:r>
          </w:p>
          <w:p w:rsidR="0048714F" w:rsidRPr="004E7889" w:rsidRDefault="00AB738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net cost per waste disposal per premises reduced from £112.16 to £102.32</w:t>
            </w:r>
          </w:p>
          <w:p w:rsidR="00AB7384" w:rsidRPr="004E7889" w:rsidRDefault="00AB738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 xml:space="preserve">The percentage of temporary/emergency accommodation offers refused </w:t>
            </w:r>
            <w:r w:rsidRPr="004E7889">
              <w:rPr>
                <w:rFonts w:ascii="Arial" w:hAnsi="Arial" w:cs="Arial"/>
                <w:sz w:val="24"/>
                <w:szCs w:val="24"/>
              </w:rPr>
              <w:lastRenderedPageBreak/>
              <w:t>reduced from 18.25% to 6.79%</w:t>
            </w:r>
          </w:p>
          <w:p w:rsidR="00AB7384" w:rsidRPr="004E7889" w:rsidRDefault="00AB738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tenants satisfied with the quality of their home increased from 70.9% to 78.8%</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tenants satisfied with the management of their neighbourhood increased from 53.1% to 67.2%</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council house repairs completed at first visit increased from 73% to 83%</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domestic noise complaints resolved without site attendance increased from 51 to 66</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number of domestic noise complaints requiring site attendance reduced from 62 to 44</w:t>
            </w:r>
          </w:p>
          <w:p w:rsidR="00A52E56" w:rsidRPr="004E7889" w:rsidRDefault="00A52E56"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housing at or above national energy efficiency ratings (NHER/SAP) increased from 75.7% to 86.7%</w:t>
            </w:r>
          </w:p>
          <w:p w:rsidR="008C5637" w:rsidRPr="004E7889" w:rsidRDefault="008C5637"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housing meeting the Scottish Housing Quality Standards (SHQS) increased from 70.2% to 85.2%</w:t>
            </w:r>
          </w:p>
          <w:p w:rsidR="00DB0E24" w:rsidRPr="004E7889" w:rsidRDefault="00DB0E24" w:rsidP="00DB0E24">
            <w:pPr>
              <w:rPr>
                <w:rFonts w:ascii="Arial" w:hAnsi="Arial" w:cs="Arial"/>
                <w:sz w:val="24"/>
                <w:szCs w:val="24"/>
              </w:rPr>
            </w:pPr>
            <w:r w:rsidRPr="004E7889">
              <w:rPr>
                <w:rFonts w:ascii="Arial" w:hAnsi="Arial" w:cs="Arial"/>
                <w:sz w:val="24"/>
                <w:szCs w:val="24"/>
              </w:rPr>
              <w:t>Development &amp; Infrastructure</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Access team – the cost per kilometre of core paths reduced from £88.80 to £78.69</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per archaeological consultation reduced from £16.53 to £14.42</w:t>
            </w:r>
          </w:p>
          <w:p w:rsidR="00DB0E24" w:rsidRPr="004E7889" w:rsidRDefault="00DB0E24"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per business supported reduced from £986.54 to £817.77</w:t>
            </w:r>
          </w:p>
          <w:p w:rsidR="00DB0E24" w:rsidRPr="004E7889" w:rsidRDefault="00DD682C"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per historic environment record (HER) consultation reduced from £0.21 to £0.17</w:t>
            </w:r>
          </w:p>
          <w:p w:rsidR="00F03ACC" w:rsidRPr="004E7889" w:rsidRDefault="00F03ACC"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Asset management – the percentage of property in acceptable condition increased from 58% to 79.3%</w:t>
            </w:r>
          </w:p>
          <w:p w:rsidR="00F03ACC" w:rsidRPr="004E7889" w:rsidRDefault="00F03ACC"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Asset management – the percentage of property suitable for its use increased from 58.1% to 64.3%</w:t>
            </w:r>
          </w:p>
          <w:p w:rsidR="00572AA3" w:rsidRPr="004E7889" w:rsidRDefault="00572AA3" w:rsidP="00572AA3">
            <w:pPr>
              <w:rPr>
                <w:rFonts w:ascii="Arial" w:hAnsi="Arial" w:cs="Arial"/>
                <w:sz w:val="24"/>
                <w:szCs w:val="24"/>
              </w:rPr>
            </w:pPr>
            <w:r w:rsidRPr="004E7889">
              <w:rPr>
                <w:rFonts w:ascii="Arial" w:hAnsi="Arial" w:cs="Arial"/>
                <w:sz w:val="24"/>
                <w:szCs w:val="24"/>
              </w:rPr>
              <w:t>Finance and Corporate</w:t>
            </w:r>
          </w:p>
          <w:p w:rsidR="00572AA3" w:rsidRPr="004E7889" w:rsidRDefault="00572AA3"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per dwelling of collecting Council Tax reduced from £14.22 to £11.83</w:t>
            </w:r>
          </w:p>
          <w:p w:rsidR="00572AA3" w:rsidRPr="004E7889" w:rsidRDefault="00572AA3"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Payroll – the cost per payslip produced reduced from £3.73 to £3.25</w:t>
            </w:r>
          </w:p>
          <w:p w:rsidR="000E7026" w:rsidRPr="004E7889" w:rsidRDefault="000E7026"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cost of Non-domestic rates (NDR) per chargeable property reduced from £24.60 to £20.68</w:t>
            </w:r>
          </w:p>
          <w:p w:rsidR="003058E6" w:rsidRPr="004E7889" w:rsidRDefault="003058E6" w:rsidP="002C3327">
            <w:pPr>
              <w:pStyle w:val="ListParagraph"/>
              <w:numPr>
                <w:ilvl w:val="0"/>
                <w:numId w:val="14"/>
              </w:numPr>
              <w:spacing w:after="0" w:line="240" w:lineRule="auto"/>
              <w:rPr>
                <w:rFonts w:ascii="Arial" w:hAnsi="Arial" w:cs="Arial"/>
                <w:sz w:val="24"/>
                <w:szCs w:val="24"/>
              </w:rPr>
            </w:pPr>
            <w:r w:rsidRPr="004E7889">
              <w:rPr>
                <w:rFonts w:ascii="Arial" w:hAnsi="Arial" w:cs="Arial"/>
                <w:sz w:val="24"/>
                <w:szCs w:val="24"/>
              </w:rPr>
              <w:t>The percentage of women managers in the top 2% of earners increased from 35.8% to 40.2%</w:t>
            </w:r>
          </w:p>
          <w:p w:rsidR="00186485" w:rsidRPr="004E7889" w:rsidRDefault="00186485" w:rsidP="000C320F">
            <w:pPr>
              <w:pStyle w:val="ListParagraph"/>
              <w:spacing w:after="0" w:line="240" w:lineRule="auto"/>
              <w:ind w:left="714"/>
              <w:rPr>
                <w:rFonts w:ascii="Arial" w:hAnsi="Arial" w:cs="Arial"/>
                <w:sz w:val="24"/>
                <w:szCs w:val="24"/>
              </w:rPr>
            </w:pPr>
          </w:p>
        </w:tc>
      </w:tr>
      <w:tr w:rsidR="0068462E" w:rsidRPr="0043501F" w:rsidTr="004B5FB3">
        <w:trPr>
          <w:trHeight w:val="204"/>
        </w:trPr>
        <w:tc>
          <w:tcPr>
            <w:tcW w:w="817" w:type="dxa"/>
          </w:tcPr>
          <w:p w:rsidR="0068462E" w:rsidRDefault="004F0868" w:rsidP="00A66D29">
            <w:pPr>
              <w:rPr>
                <w:rFonts w:ascii="Arial" w:hAnsi="Arial" w:cs="Arial"/>
                <w:sz w:val="24"/>
                <w:szCs w:val="24"/>
              </w:rPr>
            </w:pPr>
            <w:r>
              <w:rPr>
                <w:rFonts w:ascii="Arial" w:hAnsi="Arial" w:cs="Arial"/>
                <w:sz w:val="24"/>
                <w:szCs w:val="24"/>
              </w:rPr>
              <w:lastRenderedPageBreak/>
              <w:t>2.7</w:t>
            </w:r>
          </w:p>
          <w:p w:rsidR="0068462E" w:rsidRDefault="0068462E" w:rsidP="00A66D29">
            <w:pPr>
              <w:rPr>
                <w:rFonts w:ascii="Arial" w:hAnsi="Arial" w:cs="Arial"/>
                <w:sz w:val="24"/>
                <w:szCs w:val="24"/>
              </w:rPr>
            </w:pPr>
          </w:p>
        </w:tc>
        <w:tc>
          <w:tcPr>
            <w:tcW w:w="9505" w:type="dxa"/>
          </w:tcPr>
          <w:p w:rsidR="00FC08B1" w:rsidRDefault="0068462E" w:rsidP="008F6FE5">
            <w:pPr>
              <w:rPr>
                <w:rFonts w:ascii="Arial" w:hAnsi="Arial" w:cs="Arial"/>
                <w:sz w:val="24"/>
                <w:szCs w:val="24"/>
              </w:rPr>
            </w:pPr>
            <w:r>
              <w:rPr>
                <w:rFonts w:ascii="Arial" w:hAnsi="Arial" w:cs="Arial"/>
                <w:sz w:val="24"/>
                <w:szCs w:val="24"/>
              </w:rPr>
              <w:t xml:space="preserve">Areas where performance has declined by </w:t>
            </w:r>
            <w:r w:rsidR="00E50C74">
              <w:rPr>
                <w:rFonts w:ascii="Arial" w:hAnsi="Arial" w:cs="Arial"/>
                <w:sz w:val="24"/>
                <w:szCs w:val="24"/>
              </w:rPr>
              <w:t>10</w:t>
            </w:r>
            <w:r>
              <w:rPr>
                <w:rFonts w:ascii="Arial" w:hAnsi="Arial" w:cs="Arial"/>
                <w:sz w:val="24"/>
                <w:szCs w:val="24"/>
              </w:rPr>
              <w:t xml:space="preserve">% </w:t>
            </w:r>
            <w:r w:rsidR="00E50C74">
              <w:rPr>
                <w:rFonts w:ascii="Arial" w:hAnsi="Arial" w:cs="Arial"/>
                <w:sz w:val="24"/>
                <w:szCs w:val="24"/>
              </w:rPr>
              <w:t xml:space="preserve">or more </w:t>
            </w:r>
            <w:r>
              <w:rPr>
                <w:rFonts w:ascii="Arial" w:hAnsi="Arial" w:cs="Arial"/>
                <w:sz w:val="24"/>
                <w:szCs w:val="24"/>
              </w:rPr>
              <w:t>between 201</w:t>
            </w:r>
            <w:r w:rsidR="00446022">
              <w:rPr>
                <w:rFonts w:ascii="Arial" w:hAnsi="Arial" w:cs="Arial"/>
                <w:sz w:val="24"/>
                <w:szCs w:val="24"/>
              </w:rPr>
              <w:t>3</w:t>
            </w:r>
            <w:r>
              <w:rPr>
                <w:rFonts w:ascii="Arial" w:hAnsi="Arial" w:cs="Arial"/>
                <w:sz w:val="24"/>
                <w:szCs w:val="24"/>
              </w:rPr>
              <w:t>/1</w:t>
            </w:r>
            <w:r w:rsidR="00446022">
              <w:rPr>
                <w:rFonts w:ascii="Arial" w:hAnsi="Arial" w:cs="Arial"/>
                <w:sz w:val="24"/>
                <w:szCs w:val="24"/>
              </w:rPr>
              <w:t>4 and 2014</w:t>
            </w:r>
            <w:r>
              <w:rPr>
                <w:rFonts w:ascii="Arial" w:hAnsi="Arial" w:cs="Arial"/>
                <w:sz w:val="24"/>
                <w:szCs w:val="24"/>
              </w:rPr>
              <w:t>/1</w:t>
            </w:r>
            <w:r w:rsidR="00446022">
              <w:rPr>
                <w:rFonts w:ascii="Arial" w:hAnsi="Arial" w:cs="Arial"/>
                <w:sz w:val="24"/>
                <w:szCs w:val="24"/>
              </w:rPr>
              <w:t>5</w:t>
            </w:r>
            <w:r>
              <w:rPr>
                <w:rFonts w:ascii="Arial" w:hAnsi="Arial" w:cs="Arial"/>
                <w:sz w:val="24"/>
                <w:szCs w:val="24"/>
              </w:rPr>
              <w:t xml:space="preserve"> </w:t>
            </w:r>
            <w:r w:rsidR="00FC08B1">
              <w:rPr>
                <w:rFonts w:ascii="Arial" w:hAnsi="Arial" w:cs="Arial"/>
                <w:sz w:val="24"/>
                <w:szCs w:val="24"/>
              </w:rPr>
              <w:t>are:</w:t>
            </w:r>
          </w:p>
          <w:p w:rsidR="00FC08B1" w:rsidRPr="004E7889" w:rsidRDefault="00FC08B1" w:rsidP="008F6FE5">
            <w:pPr>
              <w:rPr>
                <w:rFonts w:ascii="Arial" w:hAnsi="Arial" w:cs="Arial"/>
                <w:sz w:val="24"/>
                <w:szCs w:val="24"/>
              </w:rPr>
            </w:pPr>
            <w:r w:rsidRPr="004E7889">
              <w:rPr>
                <w:rFonts w:ascii="Arial" w:hAnsi="Arial" w:cs="Arial"/>
                <w:sz w:val="24"/>
                <w:szCs w:val="24"/>
              </w:rPr>
              <w:t>Care &amp; Learning</w:t>
            </w:r>
          </w:p>
          <w:p w:rsidR="00C06C51" w:rsidRPr="004E7889" w:rsidRDefault="00C06C51" w:rsidP="00A52E56">
            <w:pPr>
              <w:pStyle w:val="ListParagraph"/>
              <w:numPr>
                <w:ilvl w:val="0"/>
                <w:numId w:val="2"/>
              </w:numPr>
              <w:spacing w:after="0" w:line="240" w:lineRule="auto"/>
              <w:ind w:left="714" w:hanging="357"/>
              <w:rPr>
                <w:rFonts w:ascii="Arial" w:hAnsi="Arial" w:cs="Arial"/>
                <w:sz w:val="24"/>
                <w:szCs w:val="24"/>
              </w:rPr>
            </w:pPr>
            <w:r w:rsidRPr="004E7889">
              <w:rPr>
                <w:rFonts w:ascii="Arial" w:hAnsi="Arial" w:cs="Arial"/>
                <w:sz w:val="24"/>
                <w:szCs w:val="24"/>
              </w:rPr>
              <w:t>The cost per attendance at leisure facilities increased from £1.64 to £1.87</w:t>
            </w:r>
          </w:p>
          <w:p w:rsidR="00075452" w:rsidRPr="004E7889" w:rsidRDefault="00075452" w:rsidP="00A52E56">
            <w:pPr>
              <w:pStyle w:val="ListParagraph"/>
              <w:numPr>
                <w:ilvl w:val="0"/>
                <w:numId w:val="2"/>
              </w:numPr>
              <w:spacing w:after="0" w:line="240" w:lineRule="auto"/>
              <w:ind w:left="714" w:hanging="357"/>
              <w:rPr>
                <w:rFonts w:ascii="Arial" w:hAnsi="Arial" w:cs="Arial"/>
                <w:sz w:val="24"/>
                <w:szCs w:val="24"/>
              </w:rPr>
            </w:pPr>
            <w:r w:rsidRPr="004E7889">
              <w:rPr>
                <w:rFonts w:ascii="Arial" w:hAnsi="Arial" w:cs="Arial"/>
                <w:sz w:val="24"/>
                <w:szCs w:val="24"/>
              </w:rPr>
              <w:t>The percentage of adults satisfied with leisure facilities declined from 87% to 77%</w:t>
            </w:r>
          </w:p>
          <w:p w:rsidR="00BB4AE2" w:rsidRPr="004E7889" w:rsidRDefault="00BB4AE2" w:rsidP="00A52E56">
            <w:pPr>
              <w:pStyle w:val="ListParagraph"/>
              <w:numPr>
                <w:ilvl w:val="0"/>
                <w:numId w:val="2"/>
              </w:numPr>
              <w:spacing w:after="0" w:line="240" w:lineRule="auto"/>
              <w:ind w:left="714" w:hanging="357"/>
              <w:rPr>
                <w:rFonts w:ascii="Arial" w:hAnsi="Arial" w:cs="Arial"/>
                <w:sz w:val="24"/>
                <w:szCs w:val="24"/>
              </w:rPr>
            </w:pPr>
            <w:r w:rsidRPr="004E7889">
              <w:rPr>
                <w:rFonts w:ascii="Arial" w:hAnsi="Arial" w:cs="Arial"/>
                <w:sz w:val="24"/>
                <w:szCs w:val="24"/>
              </w:rPr>
              <w:t xml:space="preserve">The average hours per week taken to complete a Community Payback Order (CPO) has increased from 3.6 to 4.6 </w:t>
            </w:r>
          </w:p>
          <w:p w:rsidR="00FC08B1" w:rsidRPr="004E7889" w:rsidRDefault="00FC08B1" w:rsidP="00FC08B1">
            <w:pPr>
              <w:rPr>
                <w:rFonts w:ascii="Arial" w:hAnsi="Arial" w:cs="Arial"/>
                <w:sz w:val="24"/>
                <w:szCs w:val="24"/>
              </w:rPr>
            </w:pPr>
            <w:r w:rsidRPr="004E7889">
              <w:rPr>
                <w:rFonts w:ascii="Arial" w:hAnsi="Arial" w:cs="Arial"/>
                <w:sz w:val="24"/>
                <w:szCs w:val="24"/>
              </w:rPr>
              <w:t>Community Services</w:t>
            </w:r>
          </w:p>
          <w:p w:rsidR="00AB7384" w:rsidRPr="004E7889" w:rsidRDefault="00AB7384"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average time in temporary/emergency accommodation increased from 11 weeks to 16 weeks</w:t>
            </w:r>
          </w:p>
          <w:p w:rsidR="00AB7384" w:rsidRPr="004E7889" w:rsidRDefault="00AB7384"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percentage of housing complaints responded to in for year with timescale reduced from 67.2% to 56.3%</w:t>
            </w:r>
          </w:p>
          <w:p w:rsidR="00AB7384" w:rsidRPr="004E7889" w:rsidRDefault="00DB0E24"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Domestic noise complaints requiring attendance on site, average time in hours increased from 119 hours to 146 hours</w:t>
            </w:r>
          </w:p>
          <w:p w:rsidR="008C5637" w:rsidRPr="004E7889" w:rsidRDefault="008C5637"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average time taken to re-let council homes increased from 37.6 days to 42 days</w:t>
            </w:r>
          </w:p>
          <w:p w:rsidR="00DB0E24" w:rsidRPr="004E7889" w:rsidRDefault="00DB0E24" w:rsidP="00DB0E24">
            <w:pPr>
              <w:rPr>
                <w:rFonts w:ascii="Arial" w:hAnsi="Arial" w:cs="Arial"/>
                <w:sz w:val="24"/>
                <w:szCs w:val="24"/>
              </w:rPr>
            </w:pPr>
            <w:r w:rsidRPr="004E7889">
              <w:rPr>
                <w:rFonts w:ascii="Arial" w:hAnsi="Arial" w:cs="Arial"/>
                <w:sz w:val="24"/>
                <w:szCs w:val="24"/>
              </w:rPr>
              <w:t>Development &amp; Infrastructure</w:t>
            </w:r>
          </w:p>
          <w:p w:rsidR="00AB7384" w:rsidRPr="004E7889" w:rsidRDefault="00DB0E24"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 xml:space="preserve">The average time taken (weeks) to deal with Tree Preservation Orders (TPO) </w:t>
            </w:r>
            <w:r w:rsidRPr="004E7889">
              <w:rPr>
                <w:rFonts w:ascii="Arial" w:hAnsi="Arial" w:cs="Arial"/>
                <w:sz w:val="24"/>
                <w:szCs w:val="24"/>
              </w:rPr>
              <w:lastRenderedPageBreak/>
              <w:t>applications increased from 22 to 25</w:t>
            </w:r>
          </w:p>
          <w:p w:rsidR="00F03ACC" w:rsidRPr="004E7889" w:rsidRDefault="00F03ACC"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percentage of unemployed people assisted into work reduced from 7.4% to 6.56%</w:t>
            </w:r>
          </w:p>
          <w:p w:rsidR="00F03ACC" w:rsidRPr="004E7889" w:rsidRDefault="00F03ACC"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cost per participant for Ranger guided walks increased from £7.39 to £13.84</w:t>
            </w:r>
          </w:p>
          <w:p w:rsidR="0048714F" w:rsidRPr="004E7889" w:rsidRDefault="0048714F" w:rsidP="0048714F">
            <w:pPr>
              <w:rPr>
                <w:rFonts w:ascii="Arial" w:hAnsi="Arial" w:cs="Arial"/>
                <w:sz w:val="24"/>
                <w:szCs w:val="24"/>
              </w:rPr>
            </w:pPr>
            <w:r w:rsidRPr="004E7889">
              <w:rPr>
                <w:rFonts w:ascii="Arial" w:hAnsi="Arial" w:cs="Arial"/>
                <w:sz w:val="24"/>
                <w:szCs w:val="24"/>
              </w:rPr>
              <w:t>Finance and Corporate</w:t>
            </w:r>
          </w:p>
          <w:p w:rsidR="000C320F" w:rsidRPr="004E7889" w:rsidRDefault="000C320F" w:rsidP="000C320F">
            <w:pPr>
              <w:pStyle w:val="ListParagraph"/>
              <w:numPr>
                <w:ilvl w:val="0"/>
                <w:numId w:val="2"/>
              </w:numPr>
              <w:spacing w:after="0" w:line="240" w:lineRule="auto"/>
              <w:rPr>
                <w:rFonts w:ascii="Arial" w:hAnsi="Arial" w:cs="Arial"/>
                <w:sz w:val="24"/>
                <w:szCs w:val="24"/>
              </w:rPr>
            </w:pPr>
            <w:r w:rsidRPr="004E7889">
              <w:rPr>
                <w:rFonts w:ascii="Arial" w:hAnsi="Arial" w:cs="Arial"/>
                <w:sz w:val="24"/>
                <w:szCs w:val="24"/>
              </w:rPr>
              <w:t>The cost of accounting as a percentage of the net revenue budget and housing revenue account (HRA) increased from 0.30% to 0.35%</w:t>
            </w:r>
          </w:p>
          <w:p w:rsidR="008F3FDF" w:rsidRPr="004E7889" w:rsidRDefault="008F3FDF" w:rsidP="008F3FDF">
            <w:pPr>
              <w:pStyle w:val="ListParagraph"/>
              <w:numPr>
                <w:ilvl w:val="0"/>
                <w:numId w:val="2"/>
              </w:numPr>
              <w:spacing w:after="0" w:line="240" w:lineRule="auto"/>
              <w:ind w:left="714" w:hanging="357"/>
              <w:rPr>
                <w:rFonts w:ascii="Arial" w:hAnsi="Arial" w:cs="Arial"/>
                <w:sz w:val="24"/>
                <w:szCs w:val="24"/>
              </w:rPr>
            </w:pPr>
            <w:r w:rsidRPr="004E7889">
              <w:rPr>
                <w:rFonts w:ascii="Arial" w:hAnsi="Arial" w:cs="Arial"/>
                <w:sz w:val="24"/>
                <w:szCs w:val="24"/>
              </w:rPr>
              <w:t>Central ICT costs (excluding curriculum) as a percentage of the net revenue budget increased from 1.90% to 2.39%</w:t>
            </w:r>
          </w:p>
          <w:p w:rsidR="0068462E" w:rsidRDefault="0068462E" w:rsidP="0015125F">
            <w:pPr>
              <w:pStyle w:val="ListParagraph"/>
              <w:spacing w:after="0" w:line="240" w:lineRule="auto"/>
              <w:rPr>
                <w:rFonts w:ascii="Arial" w:hAnsi="Arial" w:cs="Arial"/>
                <w:sz w:val="24"/>
                <w:szCs w:val="24"/>
              </w:rPr>
            </w:pPr>
          </w:p>
        </w:tc>
      </w:tr>
      <w:tr w:rsidR="00D57EA4" w:rsidRPr="0043501F" w:rsidTr="004B5FB3">
        <w:trPr>
          <w:trHeight w:val="204"/>
        </w:trPr>
        <w:tc>
          <w:tcPr>
            <w:tcW w:w="817" w:type="dxa"/>
          </w:tcPr>
          <w:p w:rsidR="00D57EA4" w:rsidRDefault="004F0868" w:rsidP="00A66D29">
            <w:pPr>
              <w:rPr>
                <w:rFonts w:ascii="Arial" w:hAnsi="Arial" w:cs="Arial"/>
                <w:sz w:val="24"/>
                <w:szCs w:val="24"/>
              </w:rPr>
            </w:pPr>
            <w:r>
              <w:rPr>
                <w:rFonts w:ascii="Arial" w:hAnsi="Arial" w:cs="Arial"/>
                <w:sz w:val="24"/>
                <w:szCs w:val="24"/>
              </w:rPr>
              <w:lastRenderedPageBreak/>
              <w:t>2.8</w:t>
            </w:r>
          </w:p>
        </w:tc>
        <w:tc>
          <w:tcPr>
            <w:tcW w:w="9505" w:type="dxa"/>
          </w:tcPr>
          <w:p w:rsidR="00D57EA4" w:rsidRDefault="00D57EA4" w:rsidP="00A66D29">
            <w:pPr>
              <w:rPr>
                <w:rFonts w:ascii="Arial" w:hAnsi="Arial" w:cs="Arial"/>
                <w:sz w:val="24"/>
                <w:szCs w:val="24"/>
              </w:rPr>
            </w:pPr>
            <w:r>
              <w:rPr>
                <w:rFonts w:ascii="Arial" w:hAnsi="Arial" w:cs="Arial"/>
                <w:sz w:val="24"/>
                <w:szCs w:val="24"/>
              </w:rPr>
              <w:t xml:space="preserve">In addition to the </w:t>
            </w:r>
            <w:r w:rsidR="005570FA">
              <w:rPr>
                <w:rFonts w:ascii="Arial" w:hAnsi="Arial" w:cs="Arial"/>
                <w:sz w:val="24"/>
                <w:szCs w:val="24"/>
              </w:rPr>
              <w:t xml:space="preserve">analysis of SPIs </w:t>
            </w:r>
            <w:r>
              <w:rPr>
                <w:rFonts w:ascii="Arial" w:hAnsi="Arial" w:cs="Arial"/>
                <w:sz w:val="24"/>
                <w:szCs w:val="24"/>
              </w:rPr>
              <w:t xml:space="preserve">above the Council is also benchmarked against other local </w:t>
            </w:r>
            <w:r w:rsidR="00186485">
              <w:rPr>
                <w:rFonts w:ascii="Arial" w:hAnsi="Arial" w:cs="Arial"/>
                <w:sz w:val="24"/>
                <w:szCs w:val="24"/>
              </w:rPr>
              <w:t>authorities in Scotland for 56</w:t>
            </w:r>
            <w:r>
              <w:rPr>
                <w:rFonts w:ascii="Arial" w:hAnsi="Arial" w:cs="Arial"/>
                <w:sz w:val="24"/>
                <w:szCs w:val="24"/>
              </w:rPr>
              <w:t xml:space="preserve"> </w:t>
            </w:r>
            <w:r w:rsidR="0069011B">
              <w:rPr>
                <w:rFonts w:ascii="Arial" w:hAnsi="Arial" w:cs="Arial"/>
                <w:sz w:val="24"/>
                <w:szCs w:val="24"/>
              </w:rPr>
              <w:t xml:space="preserve">of these </w:t>
            </w:r>
            <w:r>
              <w:rPr>
                <w:rFonts w:ascii="Arial" w:hAnsi="Arial" w:cs="Arial"/>
                <w:sz w:val="24"/>
                <w:szCs w:val="24"/>
              </w:rPr>
              <w:t xml:space="preserve">indicators.  Appendix </w:t>
            </w:r>
            <w:r w:rsidR="00C12E6F">
              <w:rPr>
                <w:rFonts w:ascii="Arial" w:hAnsi="Arial" w:cs="Arial"/>
                <w:sz w:val="24"/>
                <w:szCs w:val="24"/>
              </w:rPr>
              <w:t>2</w:t>
            </w:r>
            <w:r>
              <w:rPr>
                <w:rFonts w:ascii="Arial" w:hAnsi="Arial" w:cs="Arial"/>
                <w:sz w:val="24"/>
                <w:szCs w:val="24"/>
              </w:rPr>
              <w:t xml:space="preserve"> of this report summarises the results and benchmark position</w:t>
            </w:r>
            <w:r w:rsidR="00982035">
              <w:rPr>
                <w:rFonts w:ascii="Arial" w:hAnsi="Arial" w:cs="Arial"/>
                <w:sz w:val="24"/>
                <w:szCs w:val="24"/>
              </w:rPr>
              <w:t>s</w:t>
            </w:r>
            <w:r>
              <w:rPr>
                <w:rFonts w:ascii="Arial" w:hAnsi="Arial" w:cs="Arial"/>
                <w:sz w:val="24"/>
                <w:szCs w:val="24"/>
              </w:rPr>
              <w:t xml:space="preserve"> for 201</w:t>
            </w:r>
            <w:r w:rsidR="00186485">
              <w:rPr>
                <w:rFonts w:ascii="Arial" w:hAnsi="Arial" w:cs="Arial"/>
                <w:sz w:val="24"/>
                <w:szCs w:val="24"/>
              </w:rPr>
              <w:t>4</w:t>
            </w:r>
            <w:r>
              <w:rPr>
                <w:rFonts w:ascii="Arial" w:hAnsi="Arial" w:cs="Arial"/>
                <w:sz w:val="24"/>
                <w:szCs w:val="24"/>
              </w:rPr>
              <w:t>/1</w:t>
            </w:r>
            <w:r w:rsidR="00186485">
              <w:rPr>
                <w:rFonts w:ascii="Arial" w:hAnsi="Arial" w:cs="Arial"/>
                <w:sz w:val="24"/>
                <w:szCs w:val="24"/>
              </w:rPr>
              <w:t>5</w:t>
            </w:r>
            <w:r>
              <w:rPr>
                <w:rFonts w:ascii="Arial" w:hAnsi="Arial" w:cs="Arial"/>
                <w:sz w:val="24"/>
                <w:szCs w:val="24"/>
              </w:rPr>
              <w:t xml:space="preserve">. </w:t>
            </w:r>
          </w:p>
          <w:p w:rsidR="00D57EA4" w:rsidRDefault="00D57EA4" w:rsidP="00A66D29">
            <w:pPr>
              <w:rPr>
                <w:rFonts w:ascii="Arial" w:hAnsi="Arial" w:cs="Arial"/>
                <w:sz w:val="24"/>
                <w:szCs w:val="24"/>
              </w:rPr>
            </w:pPr>
          </w:p>
        </w:tc>
      </w:tr>
      <w:tr w:rsidR="00D57EA4" w:rsidRPr="0043501F" w:rsidTr="004B5FB3">
        <w:trPr>
          <w:trHeight w:val="204"/>
        </w:trPr>
        <w:tc>
          <w:tcPr>
            <w:tcW w:w="817" w:type="dxa"/>
          </w:tcPr>
          <w:p w:rsidR="00D57EA4" w:rsidRDefault="004F0868" w:rsidP="00A66D29">
            <w:pPr>
              <w:rPr>
                <w:rFonts w:ascii="Arial" w:hAnsi="Arial" w:cs="Arial"/>
                <w:sz w:val="24"/>
                <w:szCs w:val="24"/>
              </w:rPr>
            </w:pPr>
            <w:r>
              <w:rPr>
                <w:rFonts w:ascii="Arial" w:hAnsi="Arial" w:cs="Arial"/>
                <w:sz w:val="24"/>
                <w:szCs w:val="24"/>
              </w:rPr>
              <w:t>2.9</w:t>
            </w:r>
          </w:p>
        </w:tc>
        <w:tc>
          <w:tcPr>
            <w:tcW w:w="9505" w:type="dxa"/>
          </w:tcPr>
          <w:p w:rsidR="004B5FB3" w:rsidRDefault="00D57EA4" w:rsidP="00C12E6F">
            <w:pPr>
              <w:rPr>
                <w:rFonts w:ascii="Arial" w:hAnsi="Arial" w:cs="Arial"/>
                <w:sz w:val="24"/>
                <w:szCs w:val="24"/>
              </w:rPr>
            </w:pPr>
            <w:r w:rsidRPr="00C55CFC">
              <w:rPr>
                <w:rFonts w:ascii="Arial" w:hAnsi="Arial" w:cs="Arial"/>
                <w:sz w:val="24"/>
                <w:szCs w:val="24"/>
              </w:rPr>
              <w:t xml:space="preserve">For </w:t>
            </w:r>
            <w:r w:rsidR="00982035">
              <w:rPr>
                <w:rFonts w:ascii="Arial" w:hAnsi="Arial" w:cs="Arial"/>
                <w:sz w:val="24"/>
                <w:szCs w:val="24"/>
              </w:rPr>
              <w:t xml:space="preserve">the </w:t>
            </w:r>
            <w:r w:rsidR="0069011B">
              <w:rPr>
                <w:rFonts w:ascii="Arial" w:hAnsi="Arial" w:cs="Arial"/>
                <w:sz w:val="24"/>
                <w:szCs w:val="24"/>
              </w:rPr>
              <w:t xml:space="preserve">benchmark </w:t>
            </w:r>
            <w:r w:rsidR="0069011B" w:rsidRPr="00897118">
              <w:rPr>
                <w:rFonts w:ascii="Arial" w:hAnsi="Arial" w:cs="Arial"/>
                <w:sz w:val="24"/>
                <w:szCs w:val="24"/>
              </w:rPr>
              <w:t>indicators (</w:t>
            </w:r>
            <w:r w:rsidRPr="00897118">
              <w:rPr>
                <w:rFonts w:ascii="Arial" w:hAnsi="Arial" w:cs="Arial"/>
                <w:sz w:val="24"/>
                <w:szCs w:val="24"/>
              </w:rPr>
              <w:t>LGBF</w:t>
            </w:r>
            <w:r w:rsidR="0069011B" w:rsidRPr="00897118">
              <w:rPr>
                <w:rFonts w:ascii="Arial" w:hAnsi="Arial" w:cs="Arial"/>
                <w:sz w:val="24"/>
                <w:szCs w:val="24"/>
              </w:rPr>
              <w:t>)</w:t>
            </w:r>
            <w:r w:rsidR="00FD0BFA" w:rsidRPr="00897118">
              <w:rPr>
                <w:rFonts w:ascii="Arial" w:hAnsi="Arial" w:cs="Arial"/>
                <w:sz w:val="24"/>
                <w:szCs w:val="24"/>
              </w:rPr>
              <w:t xml:space="preserve"> </w:t>
            </w:r>
            <w:r w:rsidRPr="00897118">
              <w:rPr>
                <w:rFonts w:ascii="Arial" w:hAnsi="Arial" w:cs="Arial"/>
                <w:sz w:val="24"/>
                <w:szCs w:val="24"/>
              </w:rPr>
              <w:t xml:space="preserve">the Highland Council </w:t>
            </w:r>
            <w:r w:rsidR="00C12E6F" w:rsidRPr="00897118">
              <w:rPr>
                <w:rFonts w:ascii="Arial" w:hAnsi="Arial" w:cs="Arial"/>
                <w:sz w:val="24"/>
                <w:szCs w:val="24"/>
              </w:rPr>
              <w:t xml:space="preserve">is in the </w:t>
            </w:r>
            <w:r w:rsidR="00C55CFC" w:rsidRPr="00897118">
              <w:rPr>
                <w:rFonts w:ascii="Arial" w:hAnsi="Arial" w:cs="Arial"/>
                <w:sz w:val="24"/>
                <w:szCs w:val="24"/>
              </w:rPr>
              <w:t xml:space="preserve">top quartile (ranked 1-8) for </w:t>
            </w:r>
            <w:r w:rsidR="001A5ABB" w:rsidRPr="00897118">
              <w:rPr>
                <w:rFonts w:ascii="Arial" w:hAnsi="Arial" w:cs="Arial"/>
                <w:sz w:val="24"/>
                <w:szCs w:val="24"/>
              </w:rPr>
              <w:t>14</w:t>
            </w:r>
            <w:r w:rsidR="00C12E6F" w:rsidRPr="00897118">
              <w:rPr>
                <w:rFonts w:ascii="Arial" w:hAnsi="Arial" w:cs="Arial"/>
                <w:sz w:val="24"/>
                <w:szCs w:val="24"/>
              </w:rPr>
              <w:t xml:space="preserve"> indicator</w:t>
            </w:r>
            <w:r w:rsidR="00C55CFC" w:rsidRPr="00897118">
              <w:rPr>
                <w:rFonts w:ascii="Arial" w:hAnsi="Arial" w:cs="Arial"/>
                <w:sz w:val="24"/>
                <w:szCs w:val="24"/>
              </w:rPr>
              <w:t>s</w:t>
            </w:r>
            <w:r w:rsidR="00C12E6F" w:rsidRPr="00897118">
              <w:rPr>
                <w:rFonts w:ascii="Arial" w:hAnsi="Arial" w:cs="Arial"/>
                <w:sz w:val="24"/>
                <w:szCs w:val="24"/>
              </w:rPr>
              <w:t xml:space="preserve"> and in the botto</w:t>
            </w:r>
            <w:r w:rsidR="00FD0BFA" w:rsidRPr="00897118">
              <w:rPr>
                <w:rFonts w:ascii="Arial" w:hAnsi="Arial" w:cs="Arial"/>
                <w:sz w:val="24"/>
                <w:szCs w:val="24"/>
              </w:rPr>
              <w:t xml:space="preserve">m quartile (ranked 25-32) </w:t>
            </w:r>
            <w:r w:rsidR="001A5ABB" w:rsidRPr="00897118">
              <w:rPr>
                <w:rFonts w:ascii="Arial" w:hAnsi="Arial" w:cs="Arial"/>
                <w:sz w:val="24"/>
                <w:szCs w:val="24"/>
              </w:rPr>
              <w:t>for 13</w:t>
            </w:r>
            <w:r w:rsidR="00C12E6F" w:rsidRPr="00897118">
              <w:rPr>
                <w:rFonts w:ascii="Arial" w:hAnsi="Arial" w:cs="Arial"/>
                <w:sz w:val="24"/>
                <w:szCs w:val="24"/>
              </w:rPr>
              <w:t xml:space="preserve"> indicators.   It should be noted that there are a wide range of factors that influence these indicators including geography, service delivery models and budget priorities. </w:t>
            </w:r>
            <w:r w:rsidR="00FF0906" w:rsidRPr="00897118">
              <w:rPr>
                <w:rFonts w:ascii="Arial" w:hAnsi="Arial" w:cs="Arial"/>
                <w:sz w:val="24"/>
                <w:szCs w:val="24"/>
              </w:rPr>
              <w:t>The table</w:t>
            </w:r>
            <w:r w:rsidR="00FF0906" w:rsidRPr="00E543F6">
              <w:rPr>
                <w:rFonts w:ascii="Arial" w:hAnsi="Arial" w:cs="Arial"/>
                <w:sz w:val="24"/>
                <w:szCs w:val="24"/>
              </w:rPr>
              <w:t xml:space="preserve"> below </w:t>
            </w:r>
            <w:r w:rsidR="001A5ABB">
              <w:rPr>
                <w:rFonts w:ascii="Arial" w:hAnsi="Arial" w:cs="Arial"/>
                <w:sz w:val="24"/>
                <w:szCs w:val="24"/>
              </w:rPr>
              <w:t>compares</w:t>
            </w:r>
            <w:r w:rsidR="00FF0906">
              <w:rPr>
                <w:rFonts w:ascii="Arial" w:hAnsi="Arial" w:cs="Arial"/>
                <w:sz w:val="24"/>
                <w:szCs w:val="24"/>
              </w:rPr>
              <w:t xml:space="preserve"> performance</w:t>
            </w:r>
            <w:r w:rsidR="001A5ABB">
              <w:rPr>
                <w:rFonts w:ascii="Arial" w:hAnsi="Arial" w:cs="Arial"/>
                <w:sz w:val="24"/>
                <w:szCs w:val="24"/>
              </w:rPr>
              <w:t xml:space="preserve"> with the previous year:</w:t>
            </w:r>
          </w:p>
          <w:p w:rsidR="001A5ABB" w:rsidRDefault="001A5ABB" w:rsidP="00C12E6F">
            <w:pPr>
              <w:rPr>
                <w:rFonts w:ascii="Arial" w:hAnsi="Arial" w:cs="Arial"/>
                <w:sz w:val="24"/>
                <w:szCs w:val="24"/>
              </w:rPr>
            </w:pPr>
          </w:p>
          <w:tbl>
            <w:tblPr>
              <w:tblpPr w:leftFromText="180" w:rightFromText="180" w:vertAnchor="text" w:horzAnchor="page" w:tblpX="709"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134"/>
            </w:tblGrid>
            <w:tr w:rsidR="004B5FB3" w:rsidRPr="00EC1EB8" w:rsidTr="00583D40">
              <w:tc>
                <w:tcPr>
                  <w:tcW w:w="4531" w:type="dxa"/>
                </w:tcPr>
                <w:p w:rsidR="004B5FB3" w:rsidRPr="004B5FB3" w:rsidRDefault="004B5FB3" w:rsidP="004B5FB3">
                  <w:pPr>
                    <w:jc w:val="both"/>
                    <w:rPr>
                      <w:rFonts w:ascii="Arial" w:hAnsi="Arial" w:cs="Arial"/>
                      <w:sz w:val="24"/>
                      <w:szCs w:val="24"/>
                    </w:rPr>
                  </w:pPr>
                  <w:r w:rsidRPr="004B5FB3">
                    <w:rPr>
                      <w:rFonts w:ascii="Arial" w:hAnsi="Arial" w:cs="Arial"/>
                      <w:sz w:val="24"/>
                      <w:szCs w:val="24"/>
                    </w:rPr>
                    <w:t>LGBF</w:t>
                  </w:r>
                </w:p>
              </w:tc>
              <w:tc>
                <w:tcPr>
                  <w:tcW w:w="1134" w:type="dxa"/>
                </w:tcPr>
                <w:p w:rsidR="004B5FB3" w:rsidRPr="004B5FB3" w:rsidRDefault="004B5FB3" w:rsidP="004B5FB3">
                  <w:pPr>
                    <w:jc w:val="both"/>
                    <w:rPr>
                      <w:rFonts w:ascii="Arial" w:hAnsi="Arial" w:cs="Arial"/>
                      <w:sz w:val="24"/>
                      <w:szCs w:val="24"/>
                    </w:rPr>
                  </w:pPr>
                  <w:r w:rsidRPr="004B5FB3">
                    <w:rPr>
                      <w:rFonts w:ascii="Arial" w:hAnsi="Arial" w:cs="Arial"/>
                      <w:sz w:val="24"/>
                      <w:szCs w:val="24"/>
                    </w:rPr>
                    <w:t xml:space="preserve">2013/14 </w:t>
                  </w:r>
                </w:p>
                <w:p w:rsidR="004B5FB3" w:rsidRPr="004B5FB3" w:rsidRDefault="004B5FB3" w:rsidP="004B5FB3">
                  <w:pPr>
                    <w:jc w:val="both"/>
                    <w:rPr>
                      <w:rFonts w:ascii="Arial" w:hAnsi="Arial" w:cs="Arial"/>
                      <w:sz w:val="24"/>
                      <w:szCs w:val="24"/>
                    </w:rPr>
                  </w:pPr>
                </w:p>
              </w:tc>
              <w:tc>
                <w:tcPr>
                  <w:tcW w:w="1134" w:type="dxa"/>
                </w:tcPr>
                <w:p w:rsidR="004B5FB3" w:rsidRDefault="004B5FB3" w:rsidP="004B5FB3">
                  <w:pPr>
                    <w:jc w:val="both"/>
                    <w:rPr>
                      <w:rFonts w:ascii="Arial" w:hAnsi="Arial" w:cs="Arial"/>
                      <w:sz w:val="24"/>
                      <w:szCs w:val="24"/>
                    </w:rPr>
                  </w:pPr>
                  <w:r>
                    <w:rPr>
                      <w:rFonts w:ascii="Arial" w:hAnsi="Arial" w:cs="Arial"/>
                      <w:sz w:val="24"/>
                      <w:szCs w:val="24"/>
                    </w:rPr>
                    <w:t>2014/15</w:t>
                  </w:r>
                </w:p>
                <w:p w:rsidR="004B5FB3" w:rsidRDefault="004B5FB3" w:rsidP="004B5FB3">
                  <w:pPr>
                    <w:jc w:val="both"/>
                    <w:rPr>
                      <w:rFonts w:ascii="Arial" w:hAnsi="Arial" w:cs="Arial"/>
                      <w:sz w:val="24"/>
                      <w:szCs w:val="24"/>
                    </w:rPr>
                  </w:pPr>
                </w:p>
              </w:tc>
            </w:tr>
            <w:tr w:rsidR="004B5FB3" w:rsidRPr="00EC1EB8" w:rsidTr="00583D40">
              <w:tc>
                <w:tcPr>
                  <w:tcW w:w="4531" w:type="dxa"/>
                </w:tcPr>
                <w:p w:rsidR="004B5FB3" w:rsidRPr="004B5FB3" w:rsidRDefault="004B5FB3" w:rsidP="00583D40">
                  <w:pPr>
                    <w:jc w:val="both"/>
                    <w:rPr>
                      <w:rFonts w:ascii="Arial" w:hAnsi="Arial" w:cs="Arial"/>
                      <w:sz w:val="24"/>
                      <w:szCs w:val="24"/>
                    </w:rPr>
                  </w:pPr>
                  <w:r w:rsidRPr="004B5FB3">
                    <w:rPr>
                      <w:rFonts w:ascii="Arial" w:hAnsi="Arial" w:cs="Arial"/>
                      <w:sz w:val="24"/>
                      <w:szCs w:val="24"/>
                    </w:rPr>
                    <w:t>No. indicators in top quartile</w:t>
                  </w:r>
                  <w:r w:rsidR="00830228">
                    <w:rPr>
                      <w:rFonts w:ascii="Arial" w:hAnsi="Arial" w:cs="Arial"/>
                      <w:sz w:val="24"/>
                      <w:szCs w:val="24"/>
                    </w:rPr>
                    <w:t xml:space="preserve"> (1-8)</w:t>
                  </w:r>
                </w:p>
              </w:tc>
              <w:tc>
                <w:tcPr>
                  <w:tcW w:w="1134" w:type="dxa"/>
                </w:tcPr>
                <w:p w:rsidR="004B5FB3" w:rsidRPr="004B5FB3" w:rsidRDefault="001A5ABB" w:rsidP="00FF0906">
                  <w:pPr>
                    <w:jc w:val="right"/>
                    <w:rPr>
                      <w:rFonts w:ascii="Arial" w:hAnsi="Arial" w:cs="Arial"/>
                      <w:sz w:val="24"/>
                      <w:szCs w:val="24"/>
                    </w:rPr>
                  </w:pPr>
                  <w:r>
                    <w:rPr>
                      <w:rFonts w:ascii="Arial" w:hAnsi="Arial" w:cs="Arial"/>
                      <w:sz w:val="24"/>
                      <w:szCs w:val="24"/>
                    </w:rPr>
                    <w:t>12</w:t>
                  </w:r>
                </w:p>
              </w:tc>
              <w:tc>
                <w:tcPr>
                  <w:tcW w:w="1134" w:type="dxa"/>
                </w:tcPr>
                <w:p w:rsidR="004B5FB3" w:rsidRPr="005B4327" w:rsidRDefault="005B4327" w:rsidP="00FF0906">
                  <w:pPr>
                    <w:jc w:val="right"/>
                    <w:rPr>
                      <w:rFonts w:ascii="Arial" w:hAnsi="Arial" w:cs="Arial"/>
                      <w:sz w:val="24"/>
                      <w:szCs w:val="24"/>
                    </w:rPr>
                  </w:pPr>
                  <w:r w:rsidRPr="005B4327">
                    <w:rPr>
                      <w:rFonts w:ascii="Arial" w:hAnsi="Arial" w:cs="Arial"/>
                      <w:sz w:val="24"/>
                      <w:szCs w:val="24"/>
                    </w:rPr>
                    <w:t>1</w:t>
                  </w:r>
                  <w:r w:rsidR="00FA6031">
                    <w:rPr>
                      <w:rFonts w:ascii="Arial" w:hAnsi="Arial" w:cs="Arial"/>
                      <w:sz w:val="24"/>
                      <w:szCs w:val="24"/>
                    </w:rPr>
                    <w:t>4</w:t>
                  </w:r>
                </w:p>
              </w:tc>
            </w:tr>
            <w:tr w:rsidR="004B5FB3" w:rsidRPr="00EC1EB8" w:rsidTr="00583D40">
              <w:tc>
                <w:tcPr>
                  <w:tcW w:w="4531" w:type="dxa"/>
                </w:tcPr>
                <w:p w:rsidR="004B5FB3" w:rsidRPr="004B5FB3" w:rsidRDefault="004B5FB3" w:rsidP="00583D40">
                  <w:pPr>
                    <w:jc w:val="both"/>
                    <w:rPr>
                      <w:rFonts w:ascii="Arial" w:hAnsi="Arial" w:cs="Arial"/>
                      <w:sz w:val="24"/>
                      <w:szCs w:val="24"/>
                    </w:rPr>
                  </w:pPr>
                  <w:r w:rsidRPr="004B5FB3">
                    <w:rPr>
                      <w:rFonts w:ascii="Arial" w:hAnsi="Arial" w:cs="Arial"/>
                      <w:sz w:val="24"/>
                      <w:szCs w:val="24"/>
                    </w:rPr>
                    <w:t>No. indicators in 2</w:t>
                  </w:r>
                  <w:r w:rsidRPr="004B5FB3">
                    <w:rPr>
                      <w:rFonts w:ascii="Arial" w:hAnsi="Arial" w:cs="Arial"/>
                      <w:sz w:val="24"/>
                      <w:szCs w:val="24"/>
                      <w:vertAlign w:val="superscript"/>
                    </w:rPr>
                    <w:t>nd</w:t>
                  </w:r>
                  <w:r w:rsidRPr="004B5FB3">
                    <w:rPr>
                      <w:rFonts w:ascii="Arial" w:hAnsi="Arial" w:cs="Arial"/>
                      <w:sz w:val="24"/>
                      <w:szCs w:val="24"/>
                    </w:rPr>
                    <w:t xml:space="preserve"> quartile</w:t>
                  </w:r>
                  <w:r w:rsidR="00830228">
                    <w:rPr>
                      <w:rFonts w:ascii="Arial" w:hAnsi="Arial" w:cs="Arial"/>
                      <w:sz w:val="24"/>
                      <w:szCs w:val="24"/>
                    </w:rPr>
                    <w:t xml:space="preserve"> (9-16)</w:t>
                  </w:r>
                </w:p>
              </w:tc>
              <w:tc>
                <w:tcPr>
                  <w:tcW w:w="1134" w:type="dxa"/>
                </w:tcPr>
                <w:p w:rsidR="004B5FB3" w:rsidRPr="004B5FB3" w:rsidRDefault="001A5ABB" w:rsidP="00FF0906">
                  <w:pPr>
                    <w:jc w:val="right"/>
                    <w:rPr>
                      <w:rFonts w:ascii="Arial" w:hAnsi="Arial" w:cs="Arial"/>
                      <w:sz w:val="24"/>
                      <w:szCs w:val="24"/>
                    </w:rPr>
                  </w:pPr>
                  <w:r>
                    <w:rPr>
                      <w:rFonts w:ascii="Arial" w:hAnsi="Arial" w:cs="Arial"/>
                      <w:sz w:val="24"/>
                      <w:szCs w:val="24"/>
                    </w:rPr>
                    <w:t>16</w:t>
                  </w:r>
                </w:p>
              </w:tc>
              <w:tc>
                <w:tcPr>
                  <w:tcW w:w="1134" w:type="dxa"/>
                </w:tcPr>
                <w:p w:rsidR="004B5FB3" w:rsidRPr="005B4327" w:rsidRDefault="00FF0906" w:rsidP="00FF0906">
                  <w:pPr>
                    <w:jc w:val="right"/>
                    <w:rPr>
                      <w:rFonts w:ascii="Arial" w:hAnsi="Arial" w:cs="Arial"/>
                      <w:sz w:val="24"/>
                      <w:szCs w:val="24"/>
                    </w:rPr>
                  </w:pPr>
                  <w:r>
                    <w:rPr>
                      <w:rFonts w:ascii="Arial" w:hAnsi="Arial" w:cs="Arial"/>
                      <w:sz w:val="24"/>
                      <w:szCs w:val="24"/>
                    </w:rPr>
                    <w:t>9</w:t>
                  </w:r>
                </w:p>
              </w:tc>
            </w:tr>
            <w:tr w:rsidR="004B5FB3" w:rsidRPr="00EC1EB8" w:rsidTr="00583D40">
              <w:tc>
                <w:tcPr>
                  <w:tcW w:w="4531" w:type="dxa"/>
                </w:tcPr>
                <w:p w:rsidR="004B5FB3" w:rsidRPr="004B5FB3" w:rsidRDefault="004B5FB3" w:rsidP="00583D40">
                  <w:pPr>
                    <w:jc w:val="both"/>
                    <w:rPr>
                      <w:rFonts w:ascii="Arial" w:hAnsi="Arial" w:cs="Arial"/>
                      <w:sz w:val="24"/>
                      <w:szCs w:val="24"/>
                    </w:rPr>
                  </w:pPr>
                  <w:r w:rsidRPr="004B5FB3">
                    <w:rPr>
                      <w:rFonts w:ascii="Arial" w:hAnsi="Arial" w:cs="Arial"/>
                      <w:sz w:val="24"/>
                      <w:szCs w:val="24"/>
                    </w:rPr>
                    <w:t>No. indicators in 3</w:t>
                  </w:r>
                  <w:r w:rsidRPr="004B5FB3">
                    <w:rPr>
                      <w:rFonts w:ascii="Arial" w:hAnsi="Arial" w:cs="Arial"/>
                      <w:sz w:val="24"/>
                      <w:szCs w:val="24"/>
                      <w:vertAlign w:val="superscript"/>
                    </w:rPr>
                    <w:t>rd</w:t>
                  </w:r>
                  <w:r w:rsidRPr="004B5FB3">
                    <w:rPr>
                      <w:rFonts w:ascii="Arial" w:hAnsi="Arial" w:cs="Arial"/>
                      <w:sz w:val="24"/>
                      <w:szCs w:val="24"/>
                    </w:rPr>
                    <w:t xml:space="preserve"> quartile</w:t>
                  </w:r>
                  <w:r w:rsidR="00830228">
                    <w:rPr>
                      <w:rFonts w:ascii="Arial" w:hAnsi="Arial" w:cs="Arial"/>
                      <w:sz w:val="24"/>
                      <w:szCs w:val="24"/>
                    </w:rPr>
                    <w:t xml:space="preserve"> (17-24)</w:t>
                  </w:r>
                </w:p>
              </w:tc>
              <w:tc>
                <w:tcPr>
                  <w:tcW w:w="1134" w:type="dxa"/>
                </w:tcPr>
                <w:p w:rsidR="004B5FB3" w:rsidRPr="004B5FB3" w:rsidRDefault="001A5ABB" w:rsidP="00FF0906">
                  <w:pPr>
                    <w:jc w:val="right"/>
                    <w:rPr>
                      <w:rFonts w:ascii="Arial" w:hAnsi="Arial" w:cs="Arial"/>
                      <w:sz w:val="24"/>
                      <w:szCs w:val="24"/>
                    </w:rPr>
                  </w:pPr>
                  <w:r>
                    <w:rPr>
                      <w:rFonts w:ascii="Arial" w:hAnsi="Arial" w:cs="Arial"/>
                      <w:sz w:val="24"/>
                      <w:szCs w:val="24"/>
                    </w:rPr>
                    <w:t>13</w:t>
                  </w:r>
                </w:p>
              </w:tc>
              <w:tc>
                <w:tcPr>
                  <w:tcW w:w="1134" w:type="dxa"/>
                </w:tcPr>
                <w:p w:rsidR="004B5FB3" w:rsidRPr="005B4327" w:rsidRDefault="00FF0906" w:rsidP="00FF0906">
                  <w:pPr>
                    <w:jc w:val="right"/>
                    <w:rPr>
                      <w:rFonts w:ascii="Arial" w:hAnsi="Arial" w:cs="Arial"/>
                      <w:sz w:val="24"/>
                      <w:szCs w:val="24"/>
                    </w:rPr>
                  </w:pPr>
                  <w:r>
                    <w:rPr>
                      <w:rFonts w:ascii="Arial" w:hAnsi="Arial" w:cs="Arial"/>
                      <w:sz w:val="24"/>
                      <w:szCs w:val="24"/>
                    </w:rPr>
                    <w:t>15</w:t>
                  </w:r>
                </w:p>
              </w:tc>
            </w:tr>
            <w:tr w:rsidR="004B5FB3" w:rsidRPr="00EC1EB8" w:rsidTr="00583D40">
              <w:tc>
                <w:tcPr>
                  <w:tcW w:w="4531" w:type="dxa"/>
                </w:tcPr>
                <w:p w:rsidR="004B5FB3" w:rsidRPr="004B5FB3" w:rsidRDefault="004B5FB3" w:rsidP="00583D40">
                  <w:pPr>
                    <w:jc w:val="both"/>
                    <w:rPr>
                      <w:rFonts w:ascii="Arial" w:hAnsi="Arial" w:cs="Arial"/>
                      <w:sz w:val="24"/>
                      <w:szCs w:val="24"/>
                    </w:rPr>
                  </w:pPr>
                  <w:r w:rsidRPr="004B5FB3">
                    <w:rPr>
                      <w:rFonts w:ascii="Arial" w:hAnsi="Arial" w:cs="Arial"/>
                      <w:sz w:val="24"/>
                      <w:szCs w:val="24"/>
                    </w:rPr>
                    <w:t>No. indicators in bottom</w:t>
                  </w:r>
                  <w:r w:rsidR="00583D40">
                    <w:rPr>
                      <w:rFonts w:ascii="Arial" w:hAnsi="Arial" w:cs="Arial"/>
                      <w:sz w:val="24"/>
                      <w:szCs w:val="24"/>
                    </w:rPr>
                    <w:t xml:space="preserve"> quartile</w:t>
                  </w:r>
                  <w:r w:rsidR="00830228">
                    <w:rPr>
                      <w:rFonts w:ascii="Arial" w:hAnsi="Arial" w:cs="Arial"/>
                      <w:sz w:val="24"/>
                      <w:szCs w:val="24"/>
                    </w:rPr>
                    <w:t xml:space="preserve"> (25-32)</w:t>
                  </w:r>
                </w:p>
              </w:tc>
              <w:tc>
                <w:tcPr>
                  <w:tcW w:w="1134" w:type="dxa"/>
                </w:tcPr>
                <w:p w:rsidR="004B5FB3" w:rsidRPr="004B5FB3" w:rsidRDefault="004B5FB3" w:rsidP="00FF0906">
                  <w:pPr>
                    <w:jc w:val="right"/>
                    <w:rPr>
                      <w:rFonts w:ascii="Arial" w:hAnsi="Arial" w:cs="Arial"/>
                      <w:sz w:val="24"/>
                      <w:szCs w:val="24"/>
                    </w:rPr>
                  </w:pPr>
                  <w:r w:rsidRPr="004B5FB3">
                    <w:rPr>
                      <w:rFonts w:ascii="Arial" w:hAnsi="Arial" w:cs="Arial"/>
                      <w:sz w:val="24"/>
                      <w:szCs w:val="24"/>
                    </w:rPr>
                    <w:t>1</w:t>
                  </w:r>
                  <w:r w:rsidR="001A5ABB">
                    <w:rPr>
                      <w:rFonts w:ascii="Arial" w:hAnsi="Arial" w:cs="Arial"/>
                      <w:sz w:val="24"/>
                      <w:szCs w:val="24"/>
                    </w:rPr>
                    <w:t>5</w:t>
                  </w:r>
                </w:p>
              </w:tc>
              <w:tc>
                <w:tcPr>
                  <w:tcW w:w="1134" w:type="dxa"/>
                </w:tcPr>
                <w:p w:rsidR="004B5FB3" w:rsidRPr="005B4327" w:rsidRDefault="005B4327" w:rsidP="00FF0906">
                  <w:pPr>
                    <w:jc w:val="right"/>
                    <w:rPr>
                      <w:rFonts w:ascii="Arial" w:hAnsi="Arial" w:cs="Arial"/>
                      <w:sz w:val="24"/>
                      <w:szCs w:val="24"/>
                    </w:rPr>
                  </w:pPr>
                  <w:r w:rsidRPr="005B4327">
                    <w:rPr>
                      <w:rFonts w:ascii="Arial" w:hAnsi="Arial" w:cs="Arial"/>
                      <w:sz w:val="24"/>
                      <w:szCs w:val="24"/>
                    </w:rPr>
                    <w:t>13</w:t>
                  </w:r>
                </w:p>
              </w:tc>
            </w:tr>
            <w:tr w:rsidR="00FF0906" w:rsidRPr="00EC1EB8" w:rsidTr="00583D40">
              <w:tc>
                <w:tcPr>
                  <w:tcW w:w="4531" w:type="dxa"/>
                </w:tcPr>
                <w:p w:rsidR="00FF0906" w:rsidRPr="004B5FB3" w:rsidRDefault="00DE743E" w:rsidP="004B5FB3">
                  <w:pPr>
                    <w:jc w:val="both"/>
                    <w:rPr>
                      <w:rFonts w:ascii="Arial" w:hAnsi="Arial" w:cs="Arial"/>
                      <w:sz w:val="24"/>
                      <w:szCs w:val="24"/>
                    </w:rPr>
                  </w:pPr>
                  <w:r>
                    <w:rPr>
                      <w:rFonts w:ascii="Arial" w:hAnsi="Arial" w:cs="Arial"/>
                      <w:sz w:val="24"/>
                      <w:szCs w:val="24"/>
                    </w:rPr>
                    <w:t>Rank</w:t>
                  </w:r>
                  <w:r w:rsidR="007E2927">
                    <w:rPr>
                      <w:rFonts w:ascii="Arial" w:hAnsi="Arial" w:cs="Arial"/>
                      <w:sz w:val="24"/>
                      <w:szCs w:val="24"/>
                    </w:rPr>
                    <w:t>/data</w:t>
                  </w:r>
                  <w:r w:rsidR="00FF0906">
                    <w:rPr>
                      <w:rFonts w:ascii="Arial" w:hAnsi="Arial" w:cs="Arial"/>
                      <w:sz w:val="24"/>
                      <w:szCs w:val="24"/>
                    </w:rPr>
                    <w:t xml:space="preserve"> not yet available</w:t>
                  </w:r>
                </w:p>
              </w:tc>
              <w:tc>
                <w:tcPr>
                  <w:tcW w:w="1134" w:type="dxa"/>
                </w:tcPr>
                <w:p w:rsidR="00FF0906" w:rsidRPr="004B5FB3" w:rsidRDefault="001A5ABB" w:rsidP="00FF0906">
                  <w:pPr>
                    <w:jc w:val="right"/>
                    <w:rPr>
                      <w:rFonts w:ascii="Arial" w:hAnsi="Arial" w:cs="Arial"/>
                      <w:sz w:val="24"/>
                      <w:szCs w:val="24"/>
                    </w:rPr>
                  </w:pPr>
                  <w:r>
                    <w:rPr>
                      <w:rFonts w:ascii="Arial" w:hAnsi="Arial" w:cs="Arial"/>
                      <w:sz w:val="24"/>
                      <w:szCs w:val="24"/>
                    </w:rPr>
                    <w:t>0</w:t>
                  </w:r>
                </w:p>
              </w:tc>
              <w:tc>
                <w:tcPr>
                  <w:tcW w:w="1134" w:type="dxa"/>
                </w:tcPr>
                <w:p w:rsidR="00FF0906" w:rsidRPr="005B4327" w:rsidRDefault="00FF0906" w:rsidP="00FF0906">
                  <w:pPr>
                    <w:jc w:val="right"/>
                    <w:rPr>
                      <w:rFonts w:ascii="Arial" w:hAnsi="Arial" w:cs="Arial"/>
                      <w:sz w:val="24"/>
                      <w:szCs w:val="24"/>
                    </w:rPr>
                  </w:pPr>
                  <w:r>
                    <w:rPr>
                      <w:rFonts w:ascii="Arial" w:hAnsi="Arial" w:cs="Arial"/>
                      <w:sz w:val="24"/>
                      <w:szCs w:val="24"/>
                    </w:rPr>
                    <w:t>5</w:t>
                  </w:r>
                </w:p>
              </w:tc>
            </w:tr>
          </w:tbl>
          <w:p w:rsidR="00C12E6F" w:rsidRDefault="00C12E6F" w:rsidP="00C12E6F">
            <w:pPr>
              <w:rPr>
                <w:rFonts w:ascii="Arial" w:hAnsi="Arial" w:cs="Arial"/>
                <w:sz w:val="24"/>
                <w:szCs w:val="24"/>
              </w:rPr>
            </w:pPr>
          </w:p>
          <w:p w:rsidR="004B5FB3" w:rsidRDefault="004B5FB3" w:rsidP="00C12E6F">
            <w:pPr>
              <w:rPr>
                <w:rFonts w:ascii="Arial" w:hAnsi="Arial" w:cs="Arial"/>
                <w:sz w:val="24"/>
                <w:szCs w:val="24"/>
              </w:rPr>
            </w:pPr>
          </w:p>
          <w:p w:rsidR="004B5FB3" w:rsidRDefault="004B5FB3" w:rsidP="00C12E6F">
            <w:pPr>
              <w:rPr>
                <w:rFonts w:ascii="Arial" w:hAnsi="Arial" w:cs="Arial"/>
                <w:sz w:val="24"/>
                <w:szCs w:val="24"/>
              </w:rPr>
            </w:pPr>
          </w:p>
          <w:p w:rsidR="004B5FB3" w:rsidRDefault="004B5FB3" w:rsidP="00C12E6F">
            <w:pPr>
              <w:rPr>
                <w:rFonts w:ascii="Arial" w:hAnsi="Arial" w:cs="Arial"/>
                <w:sz w:val="24"/>
                <w:szCs w:val="24"/>
              </w:rPr>
            </w:pPr>
          </w:p>
          <w:p w:rsidR="004B5FB3" w:rsidRDefault="004B5FB3" w:rsidP="00C12E6F">
            <w:pPr>
              <w:rPr>
                <w:rFonts w:ascii="Arial" w:hAnsi="Arial" w:cs="Arial"/>
                <w:sz w:val="24"/>
                <w:szCs w:val="24"/>
              </w:rPr>
            </w:pPr>
          </w:p>
          <w:p w:rsidR="004B5FB3" w:rsidRDefault="004B5FB3" w:rsidP="00C12E6F">
            <w:pPr>
              <w:rPr>
                <w:rFonts w:ascii="Arial" w:hAnsi="Arial" w:cs="Arial"/>
                <w:sz w:val="24"/>
                <w:szCs w:val="24"/>
              </w:rPr>
            </w:pPr>
          </w:p>
          <w:p w:rsidR="004B5FB3" w:rsidRDefault="004B5FB3" w:rsidP="00C12E6F">
            <w:pPr>
              <w:rPr>
                <w:rFonts w:ascii="Arial" w:hAnsi="Arial" w:cs="Arial"/>
                <w:sz w:val="24"/>
                <w:szCs w:val="24"/>
              </w:rPr>
            </w:pPr>
          </w:p>
          <w:p w:rsidR="003F66F0" w:rsidRDefault="003F66F0" w:rsidP="00C12E6F">
            <w:pPr>
              <w:rPr>
                <w:rFonts w:ascii="Arial" w:hAnsi="Arial" w:cs="Arial"/>
                <w:sz w:val="24"/>
                <w:szCs w:val="24"/>
              </w:rPr>
            </w:pPr>
          </w:p>
        </w:tc>
      </w:tr>
      <w:tr w:rsidR="007B26F4" w:rsidRPr="0043501F" w:rsidTr="004B5FB3">
        <w:trPr>
          <w:trHeight w:val="204"/>
        </w:trPr>
        <w:tc>
          <w:tcPr>
            <w:tcW w:w="817" w:type="dxa"/>
          </w:tcPr>
          <w:p w:rsidR="007B26F4" w:rsidRDefault="004F0868" w:rsidP="004B5FB3">
            <w:pPr>
              <w:rPr>
                <w:rFonts w:ascii="Arial" w:hAnsi="Arial" w:cs="Arial"/>
                <w:sz w:val="24"/>
                <w:szCs w:val="24"/>
              </w:rPr>
            </w:pPr>
            <w:r>
              <w:rPr>
                <w:rFonts w:ascii="Arial" w:hAnsi="Arial" w:cs="Arial"/>
                <w:sz w:val="24"/>
                <w:szCs w:val="24"/>
              </w:rPr>
              <w:t>2.</w:t>
            </w:r>
            <w:r w:rsidR="004B5FB3">
              <w:rPr>
                <w:rFonts w:ascii="Arial" w:hAnsi="Arial" w:cs="Arial"/>
                <w:sz w:val="24"/>
                <w:szCs w:val="24"/>
              </w:rPr>
              <w:t>10</w:t>
            </w:r>
          </w:p>
        </w:tc>
        <w:tc>
          <w:tcPr>
            <w:tcW w:w="9505" w:type="dxa"/>
          </w:tcPr>
          <w:p w:rsidR="007B26F4" w:rsidRDefault="007B26F4" w:rsidP="00A66D29">
            <w:pPr>
              <w:rPr>
                <w:rFonts w:ascii="Arial" w:hAnsi="Arial" w:cs="Arial"/>
                <w:sz w:val="24"/>
                <w:szCs w:val="24"/>
              </w:rPr>
            </w:pPr>
            <w:r>
              <w:rPr>
                <w:rFonts w:ascii="Arial" w:hAnsi="Arial" w:cs="Arial"/>
                <w:sz w:val="24"/>
                <w:szCs w:val="24"/>
              </w:rPr>
              <w:t>Indictors in the top quartile are:</w:t>
            </w:r>
          </w:p>
          <w:p w:rsidR="00C55CFC" w:rsidRPr="00555532" w:rsidRDefault="00C55CFC" w:rsidP="005F553E">
            <w:pPr>
              <w:numPr>
                <w:ilvl w:val="0"/>
                <w:numId w:val="12"/>
              </w:numPr>
              <w:rPr>
                <w:rFonts w:ascii="Arial" w:hAnsi="Arial" w:cs="Arial"/>
                <w:sz w:val="24"/>
                <w:szCs w:val="24"/>
              </w:rPr>
            </w:pPr>
            <w:r w:rsidRPr="00555532">
              <w:rPr>
                <w:rFonts w:ascii="Arial" w:hAnsi="Arial" w:cs="Arial"/>
                <w:sz w:val="24"/>
                <w:szCs w:val="24"/>
              </w:rPr>
              <w:t>Leisure Facilities - cost/attendance - C&amp;L1</w:t>
            </w:r>
          </w:p>
          <w:p w:rsidR="005F553E" w:rsidRPr="00555532" w:rsidRDefault="005F553E" w:rsidP="00FA6031">
            <w:pPr>
              <w:numPr>
                <w:ilvl w:val="0"/>
                <w:numId w:val="12"/>
              </w:numPr>
              <w:rPr>
                <w:rFonts w:ascii="Arial" w:hAnsi="Arial" w:cs="Arial"/>
                <w:sz w:val="24"/>
                <w:szCs w:val="24"/>
              </w:rPr>
            </w:pPr>
            <w:r w:rsidRPr="00555532">
              <w:rPr>
                <w:rFonts w:ascii="Arial" w:hAnsi="Arial" w:cs="Arial"/>
                <w:sz w:val="24"/>
                <w:szCs w:val="24"/>
              </w:rPr>
              <w:t>Cost of parks &amp; open spaces per 1,000 population - C&amp;L4</w:t>
            </w:r>
          </w:p>
          <w:p w:rsidR="003F66F0" w:rsidRPr="00555532" w:rsidRDefault="003F66F0" w:rsidP="005F553E">
            <w:pPr>
              <w:numPr>
                <w:ilvl w:val="0"/>
                <w:numId w:val="12"/>
              </w:numPr>
              <w:rPr>
                <w:rFonts w:ascii="Arial" w:hAnsi="Arial" w:cs="Arial"/>
                <w:sz w:val="24"/>
                <w:szCs w:val="24"/>
              </w:rPr>
            </w:pPr>
            <w:r w:rsidRPr="00555532">
              <w:rPr>
                <w:rFonts w:ascii="Arial" w:hAnsi="Arial" w:cs="Arial"/>
                <w:sz w:val="24"/>
                <w:szCs w:val="24"/>
              </w:rPr>
              <w:t>% adults satisfied with parks &amp; open spaces - C&amp;L5b</w:t>
            </w:r>
          </w:p>
          <w:p w:rsidR="005F553E" w:rsidRPr="00555532" w:rsidRDefault="005F553E" w:rsidP="005F553E">
            <w:pPr>
              <w:numPr>
                <w:ilvl w:val="0"/>
                <w:numId w:val="12"/>
              </w:numPr>
              <w:rPr>
                <w:rFonts w:ascii="Arial" w:hAnsi="Arial" w:cs="Arial"/>
                <w:sz w:val="24"/>
                <w:szCs w:val="24"/>
              </w:rPr>
            </w:pPr>
            <w:r w:rsidRPr="00555532">
              <w:rPr>
                <w:rFonts w:ascii="Arial" w:hAnsi="Arial" w:cs="Arial"/>
                <w:sz w:val="24"/>
                <w:szCs w:val="24"/>
              </w:rPr>
              <w:t>Gross rent arrears as % of rent due - HSN1</w:t>
            </w:r>
          </w:p>
          <w:p w:rsidR="00FA6031" w:rsidRPr="00555532" w:rsidRDefault="00FA6031" w:rsidP="005F553E">
            <w:pPr>
              <w:numPr>
                <w:ilvl w:val="0"/>
                <w:numId w:val="12"/>
              </w:numPr>
              <w:rPr>
                <w:rFonts w:ascii="Arial" w:hAnsi="Arial" w:cs="Arial"/>
                <w:sz w:val="24"/>
                <w:szCs w:val="24"/>
              </w:rPr>
            </w:pPr>
            <w:r w:rsidRPr="00555532">
              <w:rPr>
                <w:rFonts w:ascii="Arial" w:hAnsi="Arial" w:cs="Arial"/>
                <w:sz w:val="24"/>
                <w:szCs w:val="24"/>
              </w:rPr>
              <w:t>Average time to complete non-emergency house repairs – HSN4</w:t>
            </w:r>
          </w:p>
          <w:p w:rsidR="00FF0906" w:rsidRPr="00555532" w:rsidRDefault="00C55CFC" w:rsidP="005F553E">
            <w:pPr>
              <w:numPr>
                <w:ilvl w:val="0"/>
                <w:numId w:val="12"/>
              </w:numPr>
              <w:rPr>
                <w:rFonts w:ascii="Arial" w:hAnsi="Arial" w:cs="Arial"/>
                <w:sz w:val="24"/>
                <w:szCs w:val="24"/>
              </w:rPr>
            </w:pPr>
            <w:r w:rsidRPr="00555532">
              <w:rPr>
                <w:rFonts w:ascii="Arial" w:hAnsi="Arial" w:cs="Arial"/>
                <w:sz w:val="24"/>
                <w:szCs w:val="24"/>
              </w:rPr>
              <w:t>Cost per pre-school education registration - CHN3</w:t>
            </w:r>
          </w:p>
          <w:p w:rsidR="00FA6031" w:rsidRPr="00555532" w:rsidRDefault="00FA6031" w:rsidP="005F553E">
            <w:pPr>
              <w:numPr>
                <w:ilvl w:val="0"/>
                <w:numId w:val="12"/>
              </w:numPr>
              <w:rPr>
                <w:rFonts w:ascii="Arial" w:hAnsi="Arial" w:cs="Arial"/>
                <w:sz w:val="24"/>
                <w:szCs w:val="24"/>
              </w:rPr>
            </w:pPr>
            <w:r w:rsidRPr="00555532">
              <w:rPr>
                <w:rFonts w:ascii="Arial" w:hAnsi="Arial" w:cs="Arial"/>
                <w:sz w:val="24"/>
                <w:szCs w:val="24"/>
              </w:rPr>
              <w:t>Net cost of street cleaning per 1,000 population – ENV3a</w:t>
            </w:r>
          </w:p>
          <w:p w:rsidR="00C55CFC" w:rsidRPr="00555532" w:rsidRDefault="00FF0906" w:rsidP="005F553E">
            <w:pPr>
              <w:numPr>
                <w:ilvl w:val="0"/>
                <w:numId w:val="12"/>
              </w:numPr>
              <w:rPr>
                <w:rFonts w:ascii="Arial" w:hAnsi="Arial" w:cs="Arial"/>
                <w:sz w:val="24"/>
                <w:szCs w:val="24"/>
              </w:rPr>
            </w:pPr>
            <w:r w:rsidRPr="00555532">
              <w:rPr>
                <w:rFonts w:ascii="Arial" w:hAnsi="Arial" w:cs="Arial"/>
                <w:sz w:val="24"/>
                <w:szCs w:val="24"/>
              </w:rPr>
              <w:t>Street Cleanliness Score – ENV3b</w:t>
            </w:r>
            <w:r w:rsidR="00C55CFC" w:rsidRPr="00555532">
              <w:rPr>
                <w:rFonts w:ascii="Arial" w:hAnsi="Arial" w:cs="Arial"/>
                <w:sz w:val="24"/>
                <w:szCs w:val="24"/>
              </w:rPr>
              <w:tab/>
            </w:r>
          </w:p>
          <w:p w:rsidR="003F66F0" w:rsidRPr="00555532" w:rsidRDefault="00C55CFC" w:rsidP="003F66F0">
            <w:pPr>
              <w:numPr>
                <w:ilvl w:val="0"/>
                <w:numId w:val="12"/>
              </w:numPr>
              <w:rPr>
                <w:rFonts w:ascii="Arial" w:hAnsi="Arial" w:cs="Arial"/>
                <w:sz w:val="24"/>
                <w:szCs w:val="24"/>
              </w:rPr>
            </w:pPr>
            <w:r w:rsidRPr="00555532">
              <w:rPr>
                <w:rFonts w:ascii="Arial" w:hAnsi="Arial" w:cs="Arial"/>
                <w:sz w:val="24"/>
                <w:szCs w:val="24"/>
              </w:rPr>
              <w:t>Cost of maintenance per km of roads - ENV4a</w:t>
            </w:r>
          </w:p>
          <w:p w:rsidR="003F66F0" w:rsidRPr="00555532" w:rsidRDefault="003F66F0" w:rsidP="003F66F0">
            <w:pPr>
              <w:numPr>
                <w:ilvl w:val="0"/>
                <w:numId w:val="12"/>
              </w:numPr>
              <w:rPr>
                <w:rFonts w:ascii="Arial" w:hAnsi="Arial" w:cs="Arial"/>
                <w:sz w:val="24"/>
                <w:szCs w:val="24"/>
              </w:rPr>
            </w:pPr>
            <w:r w:rsidRPr="00555532">
              <w:rPr>
                <w:rFonts w:ascii="Arial" w:hAnsi="Arial" w:cs="Arial"/>
                <w:sz w:val="24"/>
                <w:szCs w:val="24"/>
              </w:rPr>
              <w:t>Cost of trading standards per 1,000 population – ENV5a</w:t>
            </w:r>
          </w:p>
          <w:p w:rsidR="002C3E19" w:rsidRPr="00555532" w:rsidRDefault="003F66F0" w:rsidP="003F66F0">
            <w:pPr>
              <w:numPr>
                <w:ilvl w:val="0"/>
                <w:numId w:val="12"/>
              </w:numPr>
              <w:rPr>
                <w:rFonts w:ascii="Arial" w:hAnsi="Arial" w:cs="Arial"/>
                <w:sz w:val="24"/>
                <w:szCs w:val="24"/>
              </w:rPr>
            </w:pPr>
            <w:r w:rsidRPr="00555532">
              <w:rPr>
                <w:rFonts w:ascii="Arial" w:hAnsi="Arial" w:cs="Arial"/>
                <w:sz w:val="24"/>
                <w:szCs w:val="24"/>
              </w:rPr>
              <w:t>% adults satisfied – refuse collection - ENV7a</w:t>
            </w:r>
            <w:r w:rsidR="00C55CFC" w:rsidRPr="00555532">
              <w:rPr>
                <w:rFonts w:ascii="Arial" w:hAnsi="Arial" w:cs="Arial"/>
                <w:sz w:val="24"/>
                <w:szCs w:val="24"/>
              </w:rPr>
              <w:tab/>
            </w:r>
          </w:p>
          <w:p w:rsidR="00B36E15" w:rsidRPr="00555532" w:rsidRDefault="00C55CFC" w:rsidP="005F553E">
            <w:pPr>
              <w:numPr>
                <w:ilvl w:val="0"/>
                <w:numId w:val="12"/>
              </w:numPr>
              <w:rPr>
                <w:rFonts w:ascii="Arial" w:hAnsi="Arial" w:cs="Arial"/>
                <w:sz w:val="24"/>
                <w:szCs w:val="24"/>
              </w:rPr>
            </w:pPr>
            <w:r w:rsidRPr="00555532">
              <w:rPr>
                <w:rFonts w:ascii="Arial" w:hAnsi="Arial" w:cs="Arial"/>
                <w:sz w:val="24"/>
                <w:szCs w:val="24"/>
              </w:rPr>
              <w:t xml:space="preserve">Sickness Days Lost </w:t>
            </w:r>
            <w:r w:rsidR="00B36E15" w:rsidRPr="00555532">
              <w:rPr>
                <w:rFonts w:ascii="Arial" w:hAnsi="Arial" w:cs="Arial"/>
                <w:sz w:val="24"/>
                <w:szCs w:val="24"/>
              </w:rPr>
              <w:t xml:space="preserve">teachers </w:t>
            </w:r>
            <w:r w:rsidR="002C3E19" w:rsidRPr="00555532">
              <w:rPr>
                <w:rFonts w:ascii="Arial" w:hAnsi="Arial" w:cs="Arial"/>
                <w:sz w:val="24"/>
                <w:szCs w:val="24"/>
              </w:rPr>
              <w:t xml:space="preserve">- </w:t>
            </w:r>
            <w:r w:rsidRPr="00555532">
              <w:rPr>
                <w:rFonts w:ascii="Arial" w:hAnsi="Arial" w:cs="Arial"/>
                <w:sz w:val="24"/>
                <w:szCs w:val="24"/>
              </w:rPr>
              <w:t>Corp6</w:t>
            </w:r>
            <w:r w:rsidR="00B36E15" w:rsidRPr="00555532">
              <w:rPr>
                <w:rFonts w:ascii="Arial" w:hAnsi="Arial" w:cs="Arial"/>
                <w:sz w:val="24"/>
                <w:szCs w:val="24"/>
              </w:rPr>
              <w:t>a</w:t>
            </w:r>
          </w:p>
          <w:p w:rsidR="00FA6031" w:rsidRPr="00555532" w:rsidRDefault="00B36E15" w:rsidP="005F553E">
            <w:pPr>
              <w:numPr>
                <w:ilvl w:val="0"/>
                <w:numId w:val="12"/>
              </w:numPr>
              <w:rPr>
                <w:rFonts w:ascii="Arial" w:hAnsi="Arial" w:cs="Arial"/>
                <w:sz w:val="24"/>
                <w:szCs w:val="24"/>
              </w:rPr>
            </w:pPr>
            <w:r w:rsidRPr="00555532">
              <w:rPr>
                <w:rFonts w:ascii="Arial" w:hAnsi="Arial" w:cs="Arial"/>
                <w:sz w:val="24"/>
                <w:szCs w:val="24"/>
              </w:rPr>
              <w:t>Sickness Days Lost non-teaching - Corp6b</w:t>
            </w:r>
          </w:p>
          <w:p w:rsidR="007B26F4" w:rsidRPr="00555532" w:rsidRDefault="00FA6031" w:rsidP="005F553E">
            <w:pPr>
              <w:numPr>
                <w:ilvl w:val="0"/>
                <w:numId w:val="12"/>
              </w:numPr>
              <w:rPr>
                <w:rFonts w:ascii="Arial" w:hAnsi="Arial" w:cs="Arial"/>
                <w:sz w:val="24"/>
                <w:szCs w:val="24"/>
              </w:rPr>
            </w:pPr>
            <w:r w:rsidRPr="00555532">
              <w:rPr>
                <w:rFonts w:ascii="Arial" w:hAnsi="Arial" w:cs="Arial"/>
                <w:sz w:val="24"/>
                <w:szCs w:val="24"/>
              </w:rPr>
              <w:t>Direct spend on 18+ adults – SW2</w:t>
            </w:r>
            <w:r w:rsidR="00C55CFC" w:rsidRPr="00555532">
              <w:rPr>
                <w:rFonts w:ascii="Arial" w:hAnsi="Arial" w:cs="Arial"/>
                <w:sz w:val="24"/>
                <w:szCs w:val="24"/>
              </w:rPr>
              <w:tab/>
            </w:r>
          </w:p>
          <w:p w:rsidR="002C3E19" w:rsidRDefault="002C3E19" w:rsidP="002C3E19">
            <w:pPr>
              <w:rPr>
                <w:rFonts w:ascii="Arial" w:hAnsi="Arial" w:cs="Arial"/>
                <w:sz w:val="24"/>
                <w:szCs w:val="24"/>
              </w:rPr>
            </w:pPr>
          </w:p>
        </w:tc>
      </w:tr>
      <w:tr w:rsidR="007B26F4" w:rsidRPr="0043501F" w:rsidTr="004B5FB3">
        <w:trPr>
          <w:trHeight w:val="204"/>
        </w:trPr>
        <w:tc>
          <w:tcPr>
            <w:tcW w:w="817" w:type="dxa"/>
          </w:tcPr>
          <w:p w:rsidR="007B26F4" w:rsidRDefault="004F0868" w:rsidP="00A66D29">
            <w:pPr>
              <w:rPr>
                <w:rFonts w:ascii="Arial" w:hAnsi="Arial" w:cs="Arial"/>
                <w:sz w:val="24"/>
                <w:szCs w:val="24"/>
              </w:rPr>
            </w:pPr>
            <w:r>
              <w:rPr>
                <w:rFonts w:ascii="Arial" w:hAnsi="Arial" w:cs="Arial"/>
                <w:sz w:val="24"/>
                <w:szCs w:val="24"/>
              </w:rPr>
              <w:t>2.11</w:t>
            </w:r>
          </w:p>
        </w:tc>
        <w:tc>
          <w:tcPr>
            <w:tcW w:w="9505" w:type="dxa"/>
          </w:tcPr>
          <w:p w:rsidR="007B26F4" w:rsidRDefault="007B26F4" w:rsidP="00A66D29">
            <w:pPr>
              <w:rPr>
                <w:rFonts w:ascii="Arial" w:hAnsi="Arial" w:cs="Arial"/>
                <w:sz w:val="24"/>
                <w:szCs w:val="24"/>
              </w:rPr>
            </w:pPr>
            <w:r>
              <w:rPr>
                <w:rFonts w:ascii="Arial" w:hAnsi="Arial" w:cs="Arial"/>
                <w:sz w:val="24"/>
                <w:szCs w:val="24"/>
              </w:rPr>
              <w:t xml:space="preserve">Indictors in the bottom quartile: </w:t>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Cost per secondary school pupil - CHN2</w:t>
            </w:r>
          </w:p>
          <w:p w:rsidR="002C3E19" w:rsidRPr="00555532" w:rsidRDefault="002C3E19" w:rsidP="003F66F0">
            <w:pPr>
              <w:numPr>
                <w:ilvl w:val="0"/>
                <w:numId w:val="11"/>
              </w:numPr>
              <w:rPr>
                <w:rFonts w:ascii="Arial" w:hAnsi="Arial" w:cs="Arial"/>
                <w:sz w:val="24"/>
                <w:szCs w:val="24"/>
              </w:rPr>
            </w:pPr>
            <w:r w:rsidRPr="00555532">
              <w:rPr>
                <w:rFonts w:ascii="Arial" w:hAnsi="Arial" w:cs="Arial"/>
                <w:sz w:val="24"/>
                <w:szCs w:val="24"/>
              </w:rPr>
              <w:t>Adult Home Care costs per hour aged 65 and over - SW1</w:t>
            </w:r>
            <w:r w:rsidRPr="00555532">
              <w:rPr>
                <w:rFonts w:ascii="Arial" w:hAnsi="Arial" w:cs="Arial"/>
                <w:sz w:val="24"/>
                <w:szCs w:val="24"/>
              </w:rPr>
              <w:tab/>
            </w:r>
            <w:r w:rsidRPr="00555532">
              <w:rPr>
                <w:rFonts w:ascii="Arial" w:hAnsi="Arial" w:cs="Arial"/>
                <w:sz w:val="24"/>
                <w:szCs w:val="24"/>
              </w:rPr>
              <w:tab/>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Net cost of Waste collection per premises - ENV1</w:t>
            </w:r>
            <w:r w:rsidR="00B36E15" w:rsidRPr="00555532">
              <w:rPr>
                <w:rFonts w:ascii="Arial" w:hAnsi="Arial" w:cs="Arial"/>
                <w:sz w:val="24"/>
                <w:szCs w:val="24"/>
              </w:rPr>
              <w:t>a</w:t>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 properties at or above NHER or SAP ratings HSN5/SHR8</w:t>
            </w:r>
            <w:r w:rsidRPr="00555532">
              <w:rPr>
                <w:rFonts w:ascii="Arial" w:hAnsi="Arial" w:cs="Arial"/>
                <w:sz w:val="24"/>
                <w:szCs w:val="24"/>
              </w:rPr>
              <w:tab/>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Domestic Noise Complaints - requiring attendance on site the average time (hours)- Corp5b2</w:t>
            </w:r>
            <w:r w:rsidRPr="00555532">
              <w:rPr>
                <w:rFonts w:ascii="Arial" w:hAnsi="Arial" w:cs="Arial"/>
                <w:sz w:val="24"/>
                <w:szCs w:val="24"/>
              </w:rPr>
              <w:tab/>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Asset Management - satisfactory condition - CAST2</w:t>
            </w:r>
            <w:r w:rsidRPr="00555532">
              <w:rPr>
                <w:rFonts w:ascii="Arial" w:hAnsi="Arial" w:cs="Arial"/>
                <w:sz w:val="24"/>
                <w:szCs w:val="24"/>
              </w:rPr>
              <w:tab/>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Asset Management - current use - CAST1</w:t>
            </w:r>
          </w:p>
          <w:p w:rsidR="005B4327" w:rsidRPr="00555532" w:rsidRDefault="005B4327" w:rsidP="005B4327">
            <w:pPr>
              <w:numPr>
                <w:ilvl w:val="0"/>
                <w:numId w:val="11"/>
              </w:numPr>
              <w:rPr>
                <w:rFonts w:ascii="Arial" w:hAnsi="Arial" w:cs="Arial"/>
                <w:sz w:val="24"/>
                <w:szCs w:val="24"/>
              </w:rPr>
            </w:pPr>
            <w:r w:rsidRPr="00555532">
              <w:rPr>
                <w:rFonts w:ascii="Arial" w:hAnsi="Arial" w:cs="Arial"/>
                <w:sz w:val="24"/>
                <w:szCs w:val="24"/>
              </w:rPr>
              <w:lastRenderedPageBreak/>
              <w:t>% adults satisfied with museums &amp; galleries - C&amp;L5c</w:t>
            </w:r>
          </w:p>
          <w:p w:rsidR="00F1620D" w:rsidRPr="00555532" w:rsidRDefault="004B5FB3" w:rsidP="002C3E19">
            <w:pPr>
              <w:numPr>
                <w:ilvl w:val="0"/>
                <w:numId w:val="11"/>
              </w:numPr>
              <w:rPr>
                <w:rFonts w:ascii="Arial" w:hAnsi="Arial" w:cs="Arial"/>
                <w:sz w:val="24"/>
                <w:szCs w:val="24"/>
              </w:rPr>
            </w:pPr>
            <w:r w:rsidRPr="00555532">
              <w:rPr>
                <w:rFonts w:ascii="Arial" w:hAnsi="Arial" w:cs="Arial"/>
                <w:sz w:val="24"/>
                <w:szCs w:val="24"/>
              </w:rPr>
              <w:t>Percentage of un</w:t>
            </w:r>
            <w:r w:rsidR="00F1620D" w:rsidRPr="00555532">
              <w:rPr>
                <w:rFonts w:ascii="Arial" w:hAnsi="Arial" w:cs="Arial"/>
                <w:sz w:val="24"/>
                <w:szCs w:val="24"/>
              </w:rPr>
              <w:t xml:space="preserve">employed people assisted into work </w:t>
            </w:r>
            <w:r w:rsidRPr="00555532">
              <w:rPr>
                <w:rFonts w:ascii="Arial" w:hAnsi="Arial" w:cs="Arial"/>
                <w:sz w:val="24"/>
                <w:szCs w:val="24"/>
              </w:rPr>
              <w:t>–</w:t>
            </w:r>
            <w:r w:rsidR="00F1620D" w:rsidRPr="00555532">
              <w:rPr>
                <w:rFonts w:ascii="Arial" w:hAnsi="Arial" w:cs="Arial"/>
                <w:sz w:val="24"/>
                <w:szCs w:val="24"/>
              </w:rPr>
              <w:t xml:space="preserve"> </w:t>
            </w:r>
            <w:r w:rsidRPr="00555532">
              <w:rPr>
                <w:rFonts w:ascii="Arial" w:hAnsi="Arial" w:cs="Arial"/>
                <w:sz w:val="24"/>
                <w:szCs w:val="24"/>
              </w:rPr>
              <w:t>ECON1</w:t>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Central Support Services as a proportion of running costs - Corp1</w:t>
            </w:r>
          </w:p>
          <w:p w:rsidR="005B4327" w:rsidRPr="00555532" w:rsidRDefault="005B4327" w:rsidP="002C3E19">
            <w:pPr>
              <w:numPr>
                <w:ilvl w:val="0"/>
                <w:numId w:val="11"/>
              </w:numPr>
              <w:rPr>
                <w:rFonts w:ascii="Arial" w:hAnsi="Arial" w:cs="Arial"/>
                <w:sz w:val="24"/>
                <w:szCs w:val="24"/>
              </w:rPr>
            </w:pPr>
            <w:r w:rsidRPr="00555532">
              <w:rPr>
                <w:rFonts w:ascii="Arial" w:hAnsi="Arial" w:cs="Arial"/>
                <w:sz w:val="24"/>
                <w:szCs w:val="24"/>
              </w:rPr>
              <w:t>Democratic core costs per 1,000 population – Corp2</w:t>
            </w:r>
          </w:p>
          <w:p w:rsidR="005B4327" w:rsidRPr="00555532" w:rsidRDefault="005B4327" w:rsidP="002C3E19">
            <w:pPr>
              <w:numPr>
                <w:ilvl w:val="0"/>
                <w:numId w:val="11"/>
              </w:numPr>
              <w:rPr>
                <w:rFonts w:ascii="Arial" w:hAnsi="Arial" w:cs="Arial"/>
                <w:sz w:val="24"/>
                <w:szCs w:val="24"/>
              </w:rPr>
            </w:pPr>
            <w:r w:rsidRPr="00555532">
              <w:rPr>
                <w:rFonts w:ascii="Arial" w:hAnsi="Arial" w:cs="Arial"/>
                <w:sz w:val="24"/>
                <w:szCs w:val="24"/>
              </w:rPr>
              <w:t>Council Tax collection costs – Corp4</w:t>
            </w:r>
          </w:p>
          <w:p w:rsidR="002C3E19" w:rsidRPr="00555532" w:rsidRDefault="002C3E19" w:rsidP="002C3E19">
            <w:pPr>
              <w:numPr>
                <w:ilvl w:val="0"/>
                <w:numId w:val="11"/>
              </w:numPr>
              <w:rPr>
                <w:rFonts w:ascii="Arial" w:hAnsi="Arial" w:cs="Arial"/>
                <w:sz w:val="24"/>
                <w:szCs w:val="24"/>
              </w:rPr>
            </w:pPr>
            <w:r w:rsidRPr="00555532">
              <w:rPr>
                <w:rFonts w:ascii="Arial" w:hAnsi="Arial" w:cs="Arial"/>
                <w:sz w:val="24"/>
                <w:szCs w:val="24"/>
              </w:rPr>
              <w:t>% of 65+ with intensive needs receiving care at home - SW3</w:t>
            </w:r>
            <w:r w:rsidRPr="00555532">
              <w:rPr>
                <w:rFonts w:ascii="Arial" w:hAnsi="Arial" w:cs="Arial"/>
                <w:sz w:val="24"/>
                <w:szCs w:val="24"/>
              </w:rPr>
              <w:tab/>
            </w:r>
          </w:p>
          <w:p w:rsidR="002C3E19" w:rsidRDefault="002C3E19" w:rsidP="002C3E19">
            <w:pPr>
              <w:rPr>
                <w:rFonts w:ascii="Arial" w:hAnsi="Arial" w:cs="Arial"/>
                <w:sz w:val="24"/>
                <w:szCs w:val="24"/>
              </w:rPr>
            </w:pPr>
          </w:p>
        </w:tc>
      </w:tr>
      <w:tr w:rsidR="00887ADF" w:rsidRPr="0043501F" w:rsidTr="004B5FB3">
        <w:trPr>
          <w:trHeight w:val="204"/>
        </w:trPr>
        <w:tc>
          <w:tcPr>
            <w:tcW w:w="817" w:type="dxa"/>
          </w:tcPr>
          <w:p w:rsidR="00887ADF" w:rsidRDefault="007B26F4" w:rsidP="00A66D29">
            <w:pPr>
              <w:rPr>
                <w:rFonts w:ascii="Arial" w:hAnsi="Arial" w:cs="Arial"/>
                <w:sz w:val="24"/>
                <w:szCs w:val="24"/>
              </w:rPr>
            </w:pPr>
            <w:r>
              <w:rPr>
                <w:rFonts w:ascii="Arial" w:hAnsi="Arial" w:cs="Arial"/>
                <w:sz w:val="24"/>
                <w:szCs w:val="24"/>
              </w:rPr>
              <w:lastRenderedPageBreak/>
              <w:t>2.1</w:t>
            </w:r>
            <w:r w:rsidR="004F0868">
              <w:rPr>
                <w:rFonts w:ascii="Arial" w:hAnsi="Arial" w:cs="Arial"/>
                <w:sz w:val="24"/>
                <w:szCs w:val="24"/>
              </w:rPr>
              <w:t>2</w:t>
            </w:r>
          </w:p>
        </w:tc>
        <w:tc>
          <w:tcPr>
            <w:tcW w:w="9505" w:type="dxa"/>
          </w:tcPr>
          <w:p w:rsidR="002D51E8" w:rsidRDefault="00887ADF" w:rsidP="00A66D29">
            <w:pPr>
              <w:rPr>
                <w:rFonts w:ascii="Arial" w:hAnsi="Arial" w:cs="Arial"/>
                <w:sz w:val="24"/>
                <w:szCs w:val="24"/>
              </w:rPr>
            </w:pPr>
            <w:r>
              <w:rPr>
                <w:rFonts w:ascii="Arial" w:hAnsi="Arial" w:cs="Arial"/>
                <w:sz w:val="24"/>
                <w:szCs w:val="24"/>
              </w:rPr>
              <w:t xml:space="preserve">Reports will be taken to </w:t>
            </w:r>
            <w:r w:rsidR="00D167C9">
              <w:rPr>
                <w:rFonts w:ascii="Arial" w:hAnsi="Arial" w:cs="Arial"/>
                <w:sz w:val="24"/>
                <w:szCs w:val="24"/>
              </w:rPr>
              <w:t xml:space="preserve">the next cycle of </w:t>
            </w:r>
            <w:r>
              <w:rPr>
                <w:rFonts w:ascii="Arial" w:hAnsi="Arial" w:cs="Arial"/>
                <w:sz w:val="24"/>
                <w:szCs w:val="24"/>
              </w:rPr>
              <w:t xml:space="preserve">Strategic Committees </w:t>
            </w:r>
            <w:r w:rsidR="0069011B">
              <w:rPr>
                <w:rFonts w:ascii="Arial" w:hAnsi="Arial" w:cs="Arial"/>
                <w:sz w:val="24"/>
                <w:szCs w:val="24"/>
              </w:rPr>
              <w:t>providing detailed analysis and information on improvement activity.  Q</w:t>
            </w:r>
            <w:r>
              <w:rPr>
                <w:rFonts w:ascii="Arial" w:hAnsi="Arial" w:cs="Arial"/>
                <w:sz w:val="24"/>
                <w:szCs w:val="24"/>
              </w:rPr>
              <w:t xml:space="preserve">uarterly reporting of SPIs </w:t>
            </w:r>
            <w:r w:rsidR="00B319CF">
              <w:rPr>
                <w:rFonts w:ascii="Arial" w:hAnsi="Arial" w:cs="Arial"/>
                <w:sz w:val="24"/>
                <w:szCs w:val="24"/>
              </w:rPr>
              <w:t xml:space="preserve">will </w:t>
            </w:r>
            <w:r>
              <w:rPr>
                <w:rFonts w:ascii="Arial" w:hAnsi="Arial" w:cs="Arial"/>
                <w:sz w:val="24"/>
                <w:szCs w:val="24"/>
              </w:rPr>
              <w:t xml:space="preserve">also </w:t>
            </w:r>
            <w:r w:rsidR="00B319CF">
              <w:rPr>
                <w:rFonts w:ascii="Arial" w:hAnsi="Arial" w:cs="Arial"/>
                <w:sz w:val="24"/>
                <w:szCs w:val="24"/>
              </w:rPr>
              <w:t xml:space="preserve">be </w:t>
            </w:r>
            <w:r>
              <w:rPr>
                <w:rFonts w:ascii="Arial" w:hAnsi="Arial" w:cs="Arial"/>
                <w:sz w:val="24"/>
                <w:szCs w:val="24"/>
              </w:rPr>
              <w:t xml:space="preserve">provided </w:t>
            </w:r>
            <w:r w:rsidR="0069011B">
              <w:rPr>
                <w:rFonts w:ascii="Arial" w:hAnsi="Arial" w:cs="Arial"/>
                <w:sz w:val="24"/>
                <w:szCs w:val="24"/>
              </w:rPr>
              <w:t xml:space="preserve">to Strategic Committees </w:t>
            </w:r>
            <w:r>
              <w:rPr>
                <w:rFonts w:ascii="Arial" w:hAnsi="Arial" w:cs="Arial"/>
                <w:sz w:val="24"/>
                <w:szCs w:val="24"/>
              </w:rPr>
              <w:t>where this is possible.</w:t>
            </w:r>
            <w:r w:rsidR="007B26F4">
              <w:rPr>
                <w:rFonts w:ascii="Arial" w:hAnsi="Arial" w:cs="Arial"/>
                <w:sz w:val="24"/>
                <w:szCs w:val="24"/>
              </w:rPr>
              <w:t xml:space="preserve"> The Improvement Service ha</w:t>
            </w:r>
            <w:r w:rsidR="00C3694B">
              <w:rPr>
                <w:rFonts w:ascii="Arial" w:hAnsi="Arial" w:cs="Arial"/>
                <w:sz w:val="24"/>
                <w:szCs w:val="24"/>
              </w:rPr>
              <w:t>s</w:t>
            </w:r>
            <w:r w:rsidR="007B26F4">
              <w:rPr>
                <w:rFonts w:ascii="Arial" w:hAnsi="Arial" w:cs="Arial"/>
                <w:sz w:val="24"/>
                <w:szCs w:val="24"/>
              </w:rPr>
              <w:t xml:space="preserve"> developed an on-line tool to support Council’s with public performance reporting.  The tool is available </w:t>
            </w:r>
            <w:r w:rsidR="002D51E8">
              <w:rPr>
                <w:rFonts w:ascii="Arial" w:hAnsi="Arial" w:cs="Arial"/>
                <w:sz w:val="24"/>
                <w:szCs w:val="24"/>
              </w:rPr>
              <w:t xml:space="preserve">at the following location: </w:t>
            </w:r>
            <w:hyperlink r:id="rId9" w:history="1">
              <w:r w:rsidR="002D51E8" w:rsidRPr="002D51E8">
                <w:rPr>
                  <w:rStyle w:val="Hyperlink"/>
                  <w:rFonts w:ascii="Arial" w:hAnsi="Arial" w:cs="Arial"/>
                  <w:sz w:val="24"/>
                  <w:szCs w:val="24"/>
                </w:rPr>
                <w:t>http://scotland.mylocalcouncil.info/</w:t>
              </w:r>
            </w:hyperlink>
          </w:p>
          <w:p w:rsidR="00887ADF" w:rsidRDefault="00887ADF" w:rsidP="00A66D29">
            <w:pPr>
              <w:rPr>
                <w:rFonts w:ascii="Arial" w:hAnsi="Arial" w:cs="Arial"/>
                <w:sz w:val="24"/>
                <w:szCs w:val="24"/>
              </w:rPr>
            </w:pPr>
          </w:p>
        </w:tc>
      </w:tr>
      <w:tr w:rsidR="009A530C" w:rsidRPr="0043501F" w:rsidTr="004B5FB3">
        <w:trPr>
          <w:trHeight w:val="204"/>
        </w:trPr>
        <w:tc>
          <w:tcPr>
            <w:tcW w:w="817" w:type="dxa"/>
          </w:tcPr>
          <w:p w:rsidR="009A530C" w:rsidRDefault="004F0868" w:rsidP="00A66D29">
            <w:pPr>
              <w:rPr>
                <w:rFonts w:ascii="Arial" w:hAnsi="Arial" w:cs="Arial"/>
                <w:sz w:val="24"/>
                <w:szCs w:val="24"/>
              </w:rPr>
            </w:pPr>
            <w:r>
              <w:rPr>
                <w:rFonts w:ascii="Arial" w:hAnsi="Arial" w:cs="Arial"/>
                <w:sz w:val="24"/>
                <w:szCs w:val="24"/>
              </w:rPr>
              <w:t>2.13</w:t>
            </w:r>
          </w:p>
        </w:tc>
        <w:tc>
          <w:tcPr>
            <w:tcW w:w="9505" w:type="dxa"/>
          </w:tcPr>
          <w:p w:rsidR="009A530C" w:rsidRDefault="009A530C" w:rsidP="009A530C">
            <w:pPr>
              <w:rPr>
                <w:rFonts w:ascii="Arial" w:hAnsi="Arial" w:cs="Arial"/>
                <w:sz w:val="24"/>
                <w:szCs w:val="24"/>
              </w:rPr>
            </w:pPr>
            <w:r>
              <w:rPr>
                <w:rFonts w:ascii="Arial" w:hAnsi="Arial" w:cs="Arial"/>
                <w:sz w:val="24"/>
                <w:szCs w:val="24"/>
              </w:rPr>
              <w:t xml:space="preserve">In addition to this annual report on SPIs, indicators are also monitored through Service quarterly performance reviews (QPR) undertaken by the Chief Executive. </w:t>
            </w:r>
          </w:p>
          <w:p w:rsidR="009A530C" w:rsidRDefault="009A530C" w:rsidP="00A66D29">
            <w:pPr>
              <w:rPr>
                <w:rFonts w:ascii="Arial" w:hAnsi="Arial" w:cs="Arial"/>
                <w:sz w:val="24"/>
                <w:szCs w:val="24"/>
              </w:rPr>
            </w:pPr>
          </w:p>
        </w:tc>
      </w:tr>
      <w:tr w:rsidR="002E1BAF" w:rsidRPr="0043501F" w:rsidTr="004B5FB3">
        <w:trPr>
          <w:trHeight w:val="204"/>
        </w:trPr>
        <w:tc>
          <w:tcPr>
            <w:tcW w:w="817" w:type="dxa"/>
          </w:tcPr>
          <w:p w:rsidR="002E1BAF" w:rsidRPr="00073777" w:rsidRDefault="00A66D29" w:rsidP="00A66D29">
            <w:pPr>
              <w:rPr>
                <w:rFonts w:ascii="Arial" w:hAnsi="Arial" w:cs="Arial"/>
                <w:b/>
                <w:sz w:val="24"/>
                <w:szCs w:val="24"/>
              </w:rPr>
            </w:pPr>
            <w:r w:rsidRPr="00073777">
              <w:rPr>
                <w:rFonts w:ascii="Arial" w:hAnsi="Arial" w:cs="Arial"/>
                <w:b/>
                <w:sz w:val="24"/>
                <w:szCs w:val="24"/>
              </w:rPr>
              <w:t>3.0</w:t>
            </w:r>
          </w:p>
        </w:tc>
        <w:tc>
          <w:tcPr>
            <w:tcW w:w="9505" w:type="dxa"/>
          </w:tcPr>
          <w:p w:rsidR="00A74FE6" w:rsidRPr="00073777" w:rsidRDefault="00A66D29" w:rsidP="00A66D29">
            <w:pPr>
              <w:rPr>
                <w:rFonts w:ascii="Arial" w:hAnsi="Arial" w:cs="Arial"/>
                <w:b/>
                <w:sz w:val="24"/>
                <w:szCs w:val="24"/>
              </w:rPr>
            </w:pPr>
            <w:r w:rsidRPr="00073777">
              <w:rPr>
                <w:rFonts w:ascii="Arial" w:hAnsi="Arial" w:cs="Arial"/>
                <w:b/>
                <w:sz w:val="24"/>
                <w:szCs w:val="24"/>
              </w:rPr>
              <w:t>Outcome of</w:t>
            </w:r>
            <w:r w:rsidR="00E51D79" w:rsidRPr="00073777">
              <w:rPr>
                <w:rFonts w:ascii="Arial" w:hAnsi="Arial" w:cs="Arial"/>
                <w:b/>
                <w:sz w:val="24"/>
                <w:szCs w:val="24"/>
              </w:rPr>
              <w:t xml:space="preserve"> Internal Audit of SPIs</w:t>
            </w:r>
          </w:p>
        </w:tc>
      </w:tr>
      <w:tr w:rsidR="00BD79CA" w:rsidRPr="0043501F" w:rsidTr="004B5FB3">
        <w:trPr>
          <w:trHeight w:val="204"/>
        </w:trPr>
        <w:tc>
          <w:tcPr>
            <w:tcW w:w="817" w:type="dxa"/>
          </w:tcPr>
          <w:p w:rsidR="00BD79CA" w:rsidRPr="00073777" w:rsidRDefault="00E51D79" w:rsidP="007D37ED">
            <w:pPr>
              <w:rPr>
                <w:rFonts w:ascii="Arial" w:hAnsi="Arial" w:cs="Arial"/>
                <w:sz w:val="24"/>
                <w:szCs w:val="24"/>
              </w:rPr>
            </w:pPr>
            <w:r w:rsidRPr="00073777">
              <w:rPr>
                <w:rFonts w:ascii="Arial" w:hAnsi="Arial" w:cs="Arial"/>
                <w:sz w:val="24"/>
                <w:szCs w:val="24"/>
              </w:rPr>
              <w:t>3.1</w:t>
            </w:r>
          </w:p>
        </w:tc>
        <w:tc>
          <w:tcPr>
            <w:tcW w:w="9505" w:type="dxa"/>
          </w:tcPr>
          <w:p w:rsidR="00AF00F1" w:rsidRDefault="00073777" w:rsidP="00073777">
            <w:pPr>
              <w:rPr>
                <w:rFonts w:ascii="Arial" w:hAnsi="Arial" w:cs="Arial"/>
                <w:sz w:val="24"/>
                <w:szCs w:val="24"/>
              </w:rPr>
            </w:pPr>
            <w:r>
              <w:rPr>
                <w:rFonts w:ascii="Arial" w:hAnsi="Arial" w:cs="Arial"/>
                <w:sz w:val="24"/>
                <w:szCs w:val="24"/>
              </w:rPr>
              <w:t xml:space="preserve">SPis are subject to internal audit and a report is due </w:t>
            </w:r>
            <w:r w:rsidR="00702A2C">
              <w:rPr>
                <w:rFonts w:ascii="Arial" w:hAnsi="Arial" w:cs="Arial"/>
                <w:sz w:val="24"/>
                <w:szCs w:val="24"/>
              </w:rPr>
              <w:t xml:space="preserve">by the end of March 2016 which will </w:t>
            </w:r>
            <w:r>
              <w:rPr>
                <w:rFonts w:ascii="Arial" w:hAnsi="Arial" w:cs="Arial"/>
                <w:sz w:val="24"/>
                <w:szCs w:val="24"/>
              </w:rPr>
              <w:t xml:space="preserve">be submitted to Audit &amp; Scrutiny Committee and will include an improvement plan if required. </w:t>
            </w:r>
          </w:p>
          <w:p w:rsidR="00073777" w:rsidRPr="00073777" w:rsidRDefault="00073777" w:rsidP="00073777">
            <w:pPr>
              <w:rPr>
                <w:rFonts w:ascii="Arial" w:hAnsi="Arial" w:cs="Arial"/>
                <w:sz w:val="24"/>
                <w:szCs w:val="24"/>
              </w:rPr>
            </w:pPr>
          </w:p>
        </w:tc>
      </w:tr>
      <w:tr w:rsidR="00ED6C79" w:rsidRPr="0043501F" w:rsidTr="004B5FB3">
        <w:tc>
          <w:tcPr>
            <w:tcW w:w="817" w:type="dxa"/>
          </w:tcPr>
          <w:p w:rsidR="00ED6C79" w:rsidRPr="0043501F" w:rsidRDefault="00C807AB" w:rsidP="007D37ED">
            <w:pPr>
              <w:rPr>
                <w:rFonts w:ascii="Arial" w:hAnsi="Arial" w:cs="Arial"/>
                <w:b/>
                <w:sz w:val="24"/>
                <w:szCs w:val="24"/>
              </w:rPr>
            </w:pPr>
            <w:r>
              <w:rPr>
                <w:rFonts w:ascii="Arial" w:hAnsi="Arial" w:cs="Arial"/>
                <w:b/>
                <w:sz w:val="24"/>
                <w:szCs w:val="24"/>
              </w:rPr>
              <w:t>4</w:t>
            </w:r>
            <w:r w:rsidR="00ED6C79" w:rsidRPr="0043501F">
              <w:rPr>
                <w:rFonts w:ascii="Arial" w:hAnsi="Arial" w:cs="Arial"/>
                <w:b/>
                <w:sz w:val="24"/>
                <w:szCs w:val="24"/>
              </w:rPr>
              <w:t>.</w:t>
            </w:r>
          </w:p>
        </w:tc>
        <w:tc>
          <w:tcPr>
            <w:tcW w:w="9505" w:type="dxa"/>
          </w:tcPr>
          <w:p w:rsidR="00ED6C79" w:rsidRPr="000F64BD" w:rsidRDefault="007549F9" w:rsidP="007D37ED">
            <w:pPr>
              <w:rPr>
                <w:rFonts w:ascii="Arial" w:hAnsi="Arial" w:cs="Arial"/>
                <w:b/>
                <w:sz w:val="24"/>
                <w:szCs w:val="24"/>
              </w:rPr>
            </w:pPr>
            <w:r w:rsidRPr="000F64BD">
              <w:rPr>
                <w:rFonts w:ascii="Arial" w:hAnsi="Arial" w:cs="Arial"/>
                <w:b/>
                <w:sz w:val="24"/>
                <w:szCs w:val="24"/>
              </w:rPr>
              <w:t>Public Performance Reporting (PPR)</w:t>
            </w:r>
          </w:p>
        </w:tc>
      </w:tr>
      <w:tr w:rsidR="00ED6C79" w:rsidRPr="0043501F" w:rsidTr="004B5FB3">
        <w:tc>
          <w:tcPr>
            <w:tcW w:w="817" w:type="dxa"/>
          </w:tcPr>
          <w:p w:rsidR="00ED6C79" w:rsidRDefault="00C807AB" w:rsidP="007D37ED">
            <w:pPr>
              <w:rPr>
                <w:rFonts w:ascii="Arial" w:hAnsi="Arial" w:cs="Arial"/>
                <w:sz w:val="24"/>
                <w:szCs w:val="24"/>
              </w:rPr>
            </w:pPr>
            <w:r>
              <w:rPr>
                <w:rFonts w:ascii="Arial" w:hAnsi="Arial" w:cs="Arial"/>
                <w:sz w:val="24"/>
                <w:szCs w:val="24"/>
              </w:rPr>
              <w:t>4</w:t>
            </w:r>
            <w:r w:rsidR="00ED6C79">
              <w:rPr>
                <w:rFonts w:ascii="Arial" w:hAnsi="Arial" w:cs="Arial"/>
                <w:sz w:val="24"/>
                <w:szCs w:val="24"/>
              </w:rPr>
              <w:t>.1</w:t>
            </w:r>
          </w:p>
        </w:tc>
        <w:tc>
          <w:tcPr>
            <w:tcW w:w="9505" w:type="dxa"/>
          </w:tcPr>
          <w:p w:rsidR="00F97B02" w:rsidRPr="000F64BD" w:rsidRDefault="00ED6C79" w:rsidP="00C2495E">
            <w:pPr>
              <w:rPr>
                <w:rFonts w:ascii="Arial" w:hAnsi="Arial" w:cs="Arial"/>
                <w:sz w:val="24"/>
                <w:szCs w:val="24"/>
              </w:rPr>
            </w:pPr>
            <w:r w:rsidRPr="000F64BD">
              <w:rPr>
                <w:rFonts w:ascii="Arial" w:hAnsi="Arial" w:cs="Arial"/>
                <w:sz w:val="24"/>
                <w:szCs w:val="24"/>
              </w:rPr>
              <w:t>The Council has a</w:t>
            </w:r>
            <w:r w:rsidR="00045862" w:rsidRPr="000F64BD">
              <w:rPr>
                <w:rFonts w:ascii="Arial" w:hAnsi="Arial" w:cs="Arial"/>
                <w:sz w:val="24"/>
                <w:szCs w:val="24"/>
              </w:rPr>
              <w:t xml:space="preserve"> statutory</w:t>
            </w:r>
            <w:r w:rsidRPr="000F64BD">
              <w:rPr>
                <w:rFonts w:ascii="Arial" w:hAnsi="Arial" w:cs="Arial"/>
                <w:sz w:val="24"/>
                <w:szCs w:val="24"/>
              </w:rPr>
              <w:t xml:space="preserve"> duty to report on it</w:t>
            </w:r>
            <w:r w:rsidR="009834A2" w:rsidRPr="000F64BD">
              <w:rPr>
                <w:rFonts w:ascii="Arial" w:hAnsi="Arial" w:cs="Arial"/>
                <w:sz w:val="24"/>
                <w:szCs w:val="24"/>
              </w:rPr>
              <w:t xml:space="preserve">s performance to the public.  To </w:t>
            </w:r>
            <w:r w:rsidR="007549F9" w:rsidRPr="000F64BD">
              <w:rPr>
                <w:rFonts w:ascii="Arial" w:hAnsi="Arial" w:cs="Arial"/>
                <w:sz w:val="24"/>
                <w:szCs w:val="24"/>
              </w:rPr>
              <w:t xml:space="preserve">assess how </w:t>
            </w:r>
            <w:r w:rsidR="00045862" w:rsidRPr="000F64BD">
              <w:rPr>
                <w:rFonts w:ascii="Arial" w:hAnsi="Arial" w:cs="Arial"/>
                <w:sz w:val="24"/>
                <w:szCs w:val="24"/>
              </w:rPr>
              <w:t xml:space="preserve">well </w:t>
            </w:r>
            <w:r w:rsidR="007549F9" w:rsidRPr="000F64BD">
              <w:rPr>
                <w:rFonts w:ascii="Arial" w:hAnsi="Arial" w:cs="Arial"/>
                <w:sz w:val="24"/>
                <w:szCs w:val="24"/>
              </w:rPr>
              <w:t xml:space="preserve">we </w:t>
            </w:r>
            <w:r w:rsidR="009834A2" w:rsidRPr="000F64BD">
              <w:rPr>
                <w:rFonts w:ascii="Arial" w:hAnsi="Arial" w:cs="Arial"/>
                <w:sz w:val="24"/>
                <w:szCs w:val="24"/>
              </w:rPr>
              <w:t xml:space="preserve">meet </w:t>
            </w:r>
            <w:r w:rsidR="00045862" w:rsidRPr="000F64BD">
              <w:rPr>
                <w:rFonts w:ascii="Arial" w:hAnsi="Arial" w:cs="Arial"/>
                <w:sz w:val="24"/>
                <w:szCs w:val="24"/>
              </w:rPr>
              <w:t>this</w:t>
            </w:r>
            <w:r w:rsidR="009834A2" w:rsidRPr="000F64BD">
              <w:rPr>
                <w:rFonts w:ascii="Arial" w:hAnsi="Arial" w:cs="Arial"/>
                <w:sz w:val="24"/>
                <w:szCs w:val="24"/>
              </w:rPr>
              <w:t xml:space="preserve"> dut</w:t>
            </w:r>
            <w:r w:rsidR="00045862" w:rsidRPr="000F64BD">
              <w:rPr>
                <w:rFonts w:ascii="Arial" w:hAnsi="Arial" w:cs="Arial"/>
                <w:sz w:val="24"/>
                <w:szCs w:val="24"/>
              </w:rPr>
              <w:t>y</w:t>
            </w:r>
            <w:r w:rsidR="00F97B02" w:rsidRPr="000F64BD">
              <w:rPr>
                <w:rFonts w:ascii="Arial" w:hAnsi="Arial" w:cs="Arial"/>
                <w:sz w:val="24"/>
                <w:szCs w:val="24"/>
              </w:rPr>
              <w:t xml:space="preserve"> Audit Scotland </w:t>
            </w:r>
            <w:r w:rsidR="00045862" w:rsidRPr="000F64BD">
              <w:rPr>
                <w:rFonts w:ascii="Arial" w:hAnsi="Arial" w:cs="Arial"/>
                <w:sz w:val="24"/>
                <w:szCs w:val="24"/>
              </w:rPr>
              <w:t xml:space="preserve">review information </w:t>
            </w:r>
            <w:r w:rsidR="00F97B02" w:rsidRPr="000F64BD">
              <w:rPr>
                <w:rFonts w:ascii="Arial" w:hAnsi="Arial" w:cs="Arial"/>
                <w:sz w:val="24"/>
                <w:szCs w:val="24"/>
              </w:rPr>
              <w:t>f</w:t>
            </w:r>
            <w:r w:rsidRPr="000F64BD">
              <w:rPr>
                <w:rFonts w:ascii="Arial" w:hAnsi="Arial" w:cs="Arial"/>
                <w:sz w:val="24"/>
                <w:szCs w:val="24"/>
              </w:rPr>
              <w:t>rom this report</w:t>
            </w:r>
            <w:r w:rsidR="009834A2" w:rsidRPr="000F64BD">
              <w:rPr>
                <w:rFonts w:ascii="Arial" w:hAnsi="Arial" w:cs="Arial"/>
                <w:sz w:val="24"/>
                <w:szCs w:val="24"/>
              </w:rPr>
              <w:t xml:space="preserve">, </w:t>
            </w:r>
            <w:r w:rsidRPr="000F64BD">
              <w:rPr>
                <w:rFonts w:ascii="Arial" w:hAnsi="Arial" w:cs="Arial"/>
                <w:sz w:val="24"/>
                <w:szCs w:val="24"/>
              </w:rPr>
              <w:t>the results o</w:t>
            </w:r>
            <w:r w:rsidR="004E0B11" w:rsidRPr="000F64BD">
              <w:rPr>
                <w:rFonts w:ascii="Arial" w:hAnsi="Arial" w:cs="Arial"/>
                <w:sz w:val="24"/>
                <w:szCs w:val="24"/>
              </w:rPr>
              <w:t xml:space="preserve">f the </w:t>
            </w:r>
            <w:r w:rsidR="009834A2" w:rsidRPr="000F64BD">
              <w:rPr>
                <w:rFonts w:ascii="Arial" w:hAnsi="Arial" w:cs="Arial"/>
                <w:sz w:val="24"/>
                <w:szCs w:val="24"/>
              </w:rPr>
              <w:t xml:space="preserve">Annual Corporate </w:t>
            </w:r>
            <w:r w:rsidR="00D167C9" w:rsidRPr="000F64BD">
              <w:rPr>
                <w:rFonts w:ascii="Arial" w:hAnsi="Arial" w:cs="Arial"/>
                <w:sz w:val="24"/>
                <w:szCs w:val="24"/>
              </w:rPr>
              <w:t xml:space="preserve">Performance Report </w:t>
            </w:r>
            <w:r w:rsidR="00C2495E" w:rsidRPr="000F64BD">
              <w:rPr>
                <w:rFonts w:ascii="Arial" w:hAnsi="Arial" w:cs="Arial"/>
                <w:sz w:val="24"/>
                <w:szCs w:val="24"/>
              </w:rPr>
              <w:t xml:space="preserve">and the Public Performance Survey which were </w:t>
            </w:r>
            <w:r w:rsidR="007549F9" w:rsidRPr="000F64BD">
              <w:rPr>
                <w:rFonts w:ascii="Arial" w:hAnsi="Arial" w:cs="Arial"/>
                <w:sz w:val="24"/>
                <w:szCs w:val="24"/>
              </w:rPr>
              <w:t>considered by</w:t>
            </w:r>
            <w:r w:rsidR="00D167C9" w:rsidRPr="000F64BD">
              <w:rPr>
                <w:rFonts w:ascii="Arial" w:hAnsi="Arial" w:cs="Arial"/>
                <w:sz w:val="24"/>
                <w:szCs w:val="24"/>
              </w:rPr>
              <w:t xml:space="preserve"> Council on </w:t>
            </w:r>
            <w:r w:rsidR="00C2495E" w:rsidRPr="000F64BD">
              <w:rPr>
                <w:rFonts w:ascii="Arial" w:hAnsi="Arial" w:cs="Arial"/>
                <w:sz w:val="24"/>
                <w:szCs w:val="24"/>
              </w:rPr>
              <w:t>3</w:t>
            </w:r>
            <w:r w:rsidR="00D167C9" w:rsidRPr="000F64BD">
              <w:rPr>
                <w:rFonts w:ascii="Arial" w:hAnsi="Arial" w:cs="Arial"/>
                <w:sz w:val="24"/>
                <w:szCs w:val="24"/>
              </w:rPr>
              <w:t xml:space="preserve"> </w:t>
            </w:r>
            <w:r w:rsidR="009834A2" w:rsidRPr="000F64BD">
              <w:rPr>
                <w:rFonts w:ascii="Arial" w:hAnsi="Arial" w:cs="Arial"/>
                <w:sz w:val="24"/>
                <w:szCs w:val="24"/>
              </w:rPr>
              <w:t>September 201</w:t>
            </w:r>
            <w:r w:rsidR="00C2495E" w:rsidRPr="000F64BD">
              <w:rPr>
                <w:rFonts w:ascii="Arial" w:hAnsi="Arial" w:cs="Arial"/>
                <w:sz w:val="24"/>
                <w:szCs w:val="24"/>
              </w:rPr>
              <w:t>5 and 29 October 2015 respectively</w:t>
            </w:r>
            <w:r w:rsidR="00F97B02" w:rsidRPr="000F64BD">
              <w:rPr>
                <w:rFonts w:ascii="Arial" w:hAnsi="Arial" w:cs="Arial"/>
                <w:sz w:val="24"/>
                <w:szCs w:val="24"/>
              </w:rPr>
              <w:t>.</w:t>
            </w:r>
            <w:r w:rsidR="006F05CF" w:rsidRPr="000F64BD">
              <w:rPr>
                <w:rFonts w:ascii="Arial" w:hAnsi="Arial" w:cs="Arial"/>
                <w:sz w:val="24"/>
                <w:szCs w:val="24"/>
              </w:rPr>
              <w:t xml:space="preserve">  </w:t>
            </w:r>
            <w:r w:rsidR="00C2495E" w:rsidRPr="000F64BD">
              <w:rPr>
                <w:rFonts w:ascii="Arial" w:hAnsi="Arial" w:cs="Arial"/>
                <w:sz w:val="24"/>
                <w:szCs w:val="24"/>
              </w:rPr>
              <w:t xml:space="preserve">The development of the performance pages on the Council website provides an important source of this and other information for both the public and Audit Scotland </w:t>
            </w:r>
            <w:r w:rsidR="0024241D" w:rsidRPr="000F64BD">
              <w:rPr>
                <w:rFonts w:ascii="Arial" w:hAnsi="Arial" w:cs="Arial"/>
                <w:sz w:val="24"/>
                <w:szCs w:val="24"/>
              </w:rPr>
              <w:t>at</w:t>
            </w:r>
            <w:r w:rsidR="00C2495E" w:rsidRPr="000F64BD">
              <w:rPr>
                <w:rFonts w:ascii="Arial" w:hAnsi="Arial" w:cs="Arial"/>
                <w:sz w:val="24"/>
                <w:szCs w:val="24"/>
              </w:rPr>
              <w:t xml:space="preserve"> </w:t>
            </w:r>
            <w:hyperlink r:id="rId10" w:history="1">
              <w:r w:rsidR="00C2495E" w:rsidRPr="000F64BD">
                <w:rPr>
                  <w:rStyle w:val="Hyperlink"/>
                  <w:rFonts w:ascii="Arial" w:hAnsi="Arial" w:cs="Arial"/>
                  <w:sz w:val="24"/>
                  <w:szCs w:val="24"/>
                </w:rPr>
                <w:t>www.highland.gov.uk/performance</w:t>
              </w:r>
            </w:hyperlink>
            <w:r w:rsidR="00C2495E" w:rsidRPr="000F64BD">
              <w:rPr>
                <w:rFonts w:ascii="Arial" w:hAnsi="Arial" w:cs="Arial"/>
                <w:sz w:val="24"/>
                <w:szCs w:val="24"/>
              </w:rPr>
              <w:t xml:space="preserve"> </w:t>
            </w:r>
          </w:p>
        </w:tc>
      </w:tr>
      <w:tr w:rsidR="00ED6C79" w:rsidRPr="0043501F" w:rsidTr="004B5FB3">
        <w:tc>
          <w:tcPr>
            <w:tcW w:w="817" w:type="dxa"/>
          </w:tcPr>
          <w:p w:rsidR="00ED6C79" w:rsidRPr="0043501F" w:rsidRDefault="00ED6C79" w:rsidP="007D37ED">
            <w:pPr>
              <w:rPr>
                <w:rFonts w:ascii="Arial" w:hAnsi="Arial" w:cs="Arial"/>
                <w:sz w:val="24"/>
                <w:szCs w:val="24"/>
              </w:rPr>
            </w:pPr>
          </w:p>
        </w:tc>
        <w:tc>
          <w:tcPr>
            <w:tcW w:w="9505" w:type="dxa"/>
          </w:tcPr>
          <w:p w:rsidR="000A4841" w:rsidRDefault="000A4841" w:rsidP="009A530C">
            <w:pPr>
              <w:rPr>
                <w:rFonts w:ascii="Arial" w:hAnsi="Arial" w:cs="Arial"/>
                <w:sz w:val="24"/>
                <w:szCs w:val="24"/>
              </w:rPr>
            </w:pPr>
          </w:p>
        </w:tc>
      </w:tr>
      <w:tr w:rsidR="000F0F1E" w:rsidRPr="0043501F" w:rsidTr="004B5FB3">
        <w:tc>
          <w:tcPr>
            <w:tcW w:w="817" w:type="dxa"/>
          </w:tcPr>
          <w:p w:rsidR="000F0F1E" w:rsidRPr="0095290D" w:rsidRDefault="00C807AB" w:rsidP="007D37ED">
            <w:pPr>
              <w:rPr>
                <w:rFonts w:ascii="Arial" w:hAnsi="Arial" w:cs="Arial"/>
                <w:spacing w:val="-2"/>
                <w:sz w:val="24"/>
                <w:szCs w:val="24"/>
              </w:rPr>
            </w:pPr>
            <w:r>
              <w:rPr>
                <w:rFonts w:ascii="Arial" w:hAnsi="Arial" w:cs="Arial"/>
                <w:spacing w:val="-2"/>
                <w:sz w:val="24"/>
                <w:szCs w:val="24"/>
              </w:rPr>
              <w:t>5</w:t>
            </w:r>
            <w:r w:rsidR="000F0F1E" w:rsidRPr="0095290D">
              <w:rPr>
                <w:rFonts w:ascii="Arial" w:hAnsi="Arial" w:cs="Arial"/>
                <w:spacing w:val="-2"/>
                <w:sz w:val="24"/>
                <w:szCs w:val="24"/>
              </w:rPr>
              <w:t>.</w:t>
            </w:r>
          </w:p>
          <w:p w:rsidR="000F0F1E" w:rsidRPr="0022175B" w:rsidRDefault="00C807AB" w:rsidP="007D37ED">
            <w:pPr>
              <w:rPr>
                <w:rFonts w:ascii="Arial" w:hAnsi="Arial" w:cs="Arial"/>
                <w:spacing w:val="-2"/>
                <w:sz w:val="24"/>
                <w:szCs w:val="24"/>
              </w:rPr>
            </w:pPr>
            <w:r>
              <w:rPr>
                <w:rFonts w:ascii="Arial" w:hAnsi="Arial" w:cs="Arial"/>
                <w:spacing w:val="-2"/>
                <w:sz w:val="24"/>
                <w:szCs w:val="24"/>
              </w:rPr>
              <w:t>5</w:t>
            </w:r>
            <w:r w:rsidR="000F0F1E" w:rsidRPr="0022175B">
              <w:rPr>
                <w:rFonts w:ascii="Arial" w:hAnsi="Arial" w:cs="Arial"/>
                <w:spacing w:val="-2"/>
                <w:sz w:val="24"/>
                <w:szCs w:val="24"/>
              </w:rPr>
              <w:t>.1</w:t>
            </w:r>
          </w:p>
          <w:p w:rsidR="000F0F1E" w:rsidRPr="0022175B" w:rsidRDefault="000F0F1E" w:rsidP="007D37ED">
            <w:pPr>
              <w:rPr>
                <w:rFonts w:ascii="Arial" w:hAnsi="Arial" w:cs="Arial"/>
                <w:spacing w:val="-2"/>
                <w:sz w:val="24"/>
                <w:szCs w:val="24"/>
              </w:rPr>
            </w:pPr>
          </w:p>
          <w:p w:rsidR="0001106A" w:rsidRDefault="0001106A" w:rsidP="007D37ED">
            <w:pPr>
              <w:rPr>
                <w:rFonts w:ascii="Arial" w:hAnsi="Arial" w:cs="Arial"/>
                <w:spacing w:val="-2"/>
                <w:sz w:val="24"/>
                <w:szCs w:val="24"/>
              </w:rPr>
            </w:pPr>
          </w:p>
          <w:p w:rsidR="00790BAC" w:rsidRDefault="00790BAC" w:rsidP="007D37ED">
            <w:pPr>
              <w:rPr>
                <w:rFonts w:ascii="Arial" w:hAnsi="Arial" w:cs="Arial"/>
                <w:spacing w:val="-2"/>
                <w:sz w:val="24"/>
                <w:szCs w:val="24"/>
              </w:rPr>
            </w:pPr>
          </w:p>
          <w:p w:rsidR="000F0F1E" w:rsidRPr="0022175B" w:rsidRDefault="00C807AB" w:rsidP="007D37ED">
            <w:pPr>
              <w:rPr>
                <w:rFonts w:ascii="Arial" w:hAnsi="Arial" w:cs="Arial"/>
                <w:spacing w:val="-2"/>
                <w:sz w:val="24"/>
                <w:szCs w:val="24"/>
              </w:rPr>
            </w:pPr>
            <w:r>
              <w:rPr>
                <w:rFonts w:ascii="Arial" w:hAnsi="Arial" w:cs="Arial"/>
                <w:spacing w:val="-2"/>
                <w:sz w:val="24"/>
                <w:szCs w:val="24"/>
              </w:rPr>
              <w:t>5</w:t>
            </w:r>
            <w:r w:rsidR="000F0F1E" w:rsidRPr="0022175B">
              <w:rPr>
                <w:rFonts w:ascii="Arial" w:hAnsi="Arial" w:cs="Arial"/>
                <w:spacing w:val="-2"/>
                <w:sz w:val="24"/>
                <w:szCs w:val="24"/>
              </w:rPr>
              <w:t>.2</w:t>
            </w:r>
          </w:p>
          <w:p w:rsidR="000F0F1E" w:rsidRPr="0022175B" w:rsidRDefault="000F0F1E" w:rsidP="007D37ED">
            <w:pPr>
              <w:rPr>
                <w:rFonts w:ascii="Arial" w:hAnsi="Arial" w:cs="Arial"/>
                <w:spacing w:val="-2"/>
                <w:sz w:val="24"/>
                <w:szCs w:val="24"/>
              </w:rPr>
            </w:pPr>
          </w:p>
          <w:p w:rsidR="000F0F1E" w:rsidRPr="0022175B" w:rsidRDefault="000F0F1E" w:rsidP="007D37ED">
            <w:pPr>
              <w:rPr>
                <w:rFonts w:ascii="Arial" w:hAnsi="Arial" w:cs="Arial"/>
                <w:spacing w:val="-2"/>
                <w:sz w:val="24"/>
                <w:szCs w:val="24"/>
              </w:rPr>
            </w:pPr>
          </w:p>
          <w:p w:rsidR="000F0F1E" w:rsidRPr="0022175B" w:rsidRDefault="00C807AB" w:rsidP="007D37ED">
            <w:pPr>
              <w:rPr>
                <w:rFonts w:ascii="Arial" w:hAnsi="Arial" w:cs="Arial"/>
                <w:spacing w:val="-2"/>
                <w:sz w:val="24"/>
                <w:szCs w:val="24"/>
              </w:rPr>
            </w:pPr>
            <w:r>
              <w:rPr>
                <w:rFonts w:ascii="Arial" w:hAnsi="Arial" w:cs="Arial"/>
                <w:spacing w:val="-2"/>
                <w:sz w:val="24"/>
                <w:szCs w:val="24"/>
              </w:rPr>
              <w:t>5</w:t>
            </w:r>
            <w:r w:rsidR="000F0F1E" w:rsidRPr="0022175B">
              <w:rPr>
                <w:rFonts w:ascii="Arial" w:hAnsi="Arial" w:cs="Arial"/>
                <w:spacing w:val="-2"/>
                <w:sz w:val="24"/>
                <w:szCs w:val="24"/>
              </w:rPr>
              <w:t>.3</w:t>
            </w:r>
          </w:p>
        </w:tc>
        <w:tc>
          <w:tcPr>
            <w:tcW w:w="9505" w:type="dxa"/>
          </w:tcPr>
          <w:p w:rsidR="000F0F1E" w:rsidRPr="0022175B" w:rsidRDefault="00532061" w:rsidP="007D37ED">
            <w:pPr>
              <w:ind w:left="34"/>
              <w:rPr>
                <w:rFonts w:ascii="Arial" w:hAnsi="Arial" w:cs="Arial"/>
                <w:b/>
                <w:spacing w:val="-2"/>
                <w:sz w:val="24"/>
                <w:szCs w:val="24"/>
              </w:rPr>
            </w:pPr>
            <w:r>
              <w:rPr>
                <w:rFonts w:ascii="Arial" w:hAnsi="Arial" w:cs="Arial"/>
                <w:b/>
                <w:spacing w:val="-2"/>
                <w:sz w:val="24"/>
                <w:szCs w:val="24"/>
              </w:rPr>
              <w:t>Implications</w:t>
            </w:r>
          </w:p>
          <w:p w:rsidR="00790BAC" w:rsidRDefault="00B05CF5" w:rsidP="007D37ED">
            <w:pPr>
              <w:ind w:left="34"/>
              <w:rPr>
                <w:rFonts w:ascii="Arial" w:hAnsi="Arial" w:cs="Arial"/>
                <w:spacing w:val="-2"/>
                <w:sz w:val="24"/>
                <w:szCs w:val="24"/>
              </w:rPr>
            </w:pPr>
            <w:r>
              <w:rPr>
                <w:rFonts w:ascii="Arial" w:hAnsi="Arial" w:cs="Arial"/>
                <w:spacing w:val="-2"/>
                <w:sz w:val="24"/>
                <w:szCs w:val="24"/>
              </w:rPr>
              <w:t xml:space="preserve">Resources: </w:t>
            </w:r>
            <w:r w:rsidR="000F0F1E">
              <w:rPr>
                <w:rFonts w:ascii="Arial" w:hAnsi="Arial" w:cs="Arial"/>
                <w:spacing w:val="-2"/>
                <w:sz w:val="24"/>
                <w:szCs w:val="24"/>
              </w:rPr>
              <w:t>There are no implications as a result of this performance report.</w:t>
            </w:r>
            <w:r w:rsidR="0001106A">
              <w:rPr>
                <w:rFonts w:ascii="Arial" w:hAnsi="Arial" w:cs="Arial"/>
                <w:spacing w:val="-2"/>
                <w:sz w:val="24"/>
                <w:szCs w:val="24"/>
              </w:rPr>
              <w:t xml:space="preserve"> </w:t>
            </w:r>
            <w:r w:rsidR="00790BAC">
              <w:rPr>
                <w:rFonts w:ascii="Arial" w:hAnsi="Arial" w:cs="Arial"/>
                <w:spacing w:val="-2"/>
                <w:sz w:val="24"/>
                <w:szCs w:val="24"/>
              </w:rPr>
              <w:t>The report however does contain an increas</w:t>
            </w:r>
            <w:r w:rsidR="00E40DE9">
              <w:rPr>
                <w:rFonts w:ascii="Arial" w:hAnsi="Arial" w:cs="Arial"/>
                <w:spacing w:val="-2"/>
                <w:sz w:val="24"/>
                <w:szCs w:val="24"/>
              </w:rPr>
              <w:t>ed</w:t>
            </w:r>
            <w:r w:rsidR="00790BAC">
              <w:rPr>
                <w:rFonts w:ascii="Arial" w:hAnsi="Arial" w:cs="Arial"/>
                <w:spacing w:val="-2"/>
                <w:sz w:val="24"/>
                <w:szCs w:val="24"/>
              </w:rPr>
              <w:t xml:space="preserve"> number of cost indicators which can support service improvement towards </w:t>
            </w:r>
            <w:r w:rsidR="00704BBD">
              <w:rPr>
                <w:rFonts w:ascii="Arial" w:hAnsi="Arial" w:cs="Arial"/>
                <w:spacing w:val="-2"/>
                <w:sz w:val="24"/>
                <w:szCs w:val="24"/>
              </w:rPr>
              <w:t xml:space="preserve">monitoring and </w:t>
            </w:r>
            <w:r w:rsidR="00790BAC">
              <w:rPr>
                <w:rFonts w:ascii="Arial" w:hAnsi="Arial" w:cs="Arial"/>
                <w:spacing w:val="-2"/>
                <w:sz w:val="24"/>
                <w:szCs w:val="24"/>
              </w:rPr>
              <w:t xml:space="preserve">reducing costs.  </w:t>
            </w:r>
          </w:p>
          <w:p w:rsidR="00790BAC" w:rsidRDefault="00790BAC" w:rsidP="00790BAC">
            <w:pPr>
              <w:rPr>
                <w:rFonts w:ascii="Arial" w:hAnsi="Arial" w:cs="Arial"/>
                <w:spacing w:val="-2"/>
                <w:sz w:val="24"/>
                <w:szCs w:val="24"/>
              </w:rPr>
            </w:pPr>
          </w:p>
          <w:p w:rsidR="000F0F1E" w:rsidRDefault="000F0F1E" w:rsidP="007D37ED">
            <w:pPr>
              <w:ind w:left="34"/>
              <w:rPr>
                <w:rFonts w:ascii="Arial" w:hAnsi="Arial" w:cs="Arial"/>
                <w:spacing w:val="-2"/>
                <w:sz w:val="24"/>
                <w:szCs w:val="24"/>
              </w:rPr>
            </w:pPr>
            <w:r>
              <w:rPr>
                <w:rFonts w:ascii="Arial" w:hAnsi="Arial" w:cs="Arial"/>
                <w:spacing w:val="-2"/>
                <w:sz w:val="24"/>
                <w:szCs w:val="24"/>
              </w:rPr>
              <w:t>Legal</w:t>
            </w:r>
            <w:r w:rsidR="00B05CF5">
              <w:rPr>
                <w:rFonts w:ascii="Arial" w:hAnsi="Arial" w:cs="Arial"/>
                <w:spacing w:val="-2"/>
                <w:sz w:val="24"/>
                <w:szCs w:val="24"/>
              </w:rPr>
              <w:t>: I</w:t>
            </w:r>
            <w:r>
              <w:rPr>
                <w:rFonts w:ascii="Arial" w:hAnsi="Arial" w:cs="Arial"/>
                <w:spacing w:val="-2"/>
                <w:sz w:val="24"/>
                <w:szCs w:val="24"/>
              </w:rPr>
              <w:t xml:space="preserve">mplications relate to meeting statutory requirements for public performance reporting.  </w:t>
            </w:r>
          </w:p>
          <w:p w:rsidR="000F0F1E" w:rsidRPr="0022175B" w:rsidRDefault="000F0F1E" w:rsidP="007D37ED">
            <w:pPr>
              <w:ind w:left="34"/>
              <w:rPr>
                <w:rFonts w:ascii="Arial" w:hAnsi="Arial" w:cs="Arial"/>
                <w:spacing w:val="-2"/>
                <w:sz w:val="24"/>
                <w:szCs w:val="24"/>
              </w:rPr>
            </w:pPr>
          </w:p>
          <w:p w:rsidR="000F0F1E" w:rsidRPr="0022175B" w:rsidRDefault="00532061" w:rsidP="00736038">
            <w:pPr>
              <w:ind w:left="34"/>
              <w:rPr>
                <w:rFonts w:ascii="Arial" w:hAnsi="Arial" w:cs="Arial"/>
                <w:spacing w:val="-2"/>
                <w:sz w:val="24"/>
                <w:szCs w:val="24"/>
              </w:rPr>
            </w:pPr>
            <w:r w:rsidRPr="00B05CF5">
              <w:rPr>
                <w:rFonts w:ascii="Arial" w:hAnsi="Arial" w:cs="Arial"/>
                <w:spacing w:val="-2"/>
                <w:sz w:val="24"/>
                <w:szCs w:val="24"/>
              </w:rPr>
              <w:t>Equalities</w:t>
            </w:r>
            <w:r w:rsidR="00736038">
              <w:rPr>
                <w:rFonts w:ascii="Arial" w:hAnsi="Arial" w:cs="Arial"/>
                <w:spacing w:val="-2"/>
                <w:sz w:val="24"/>
                <w:szCs w:val="24"/>
              </w:rPr>
              <w:t xml:space="preserve"> and </w:t>
            </w:r>
            <w:r w:rsidRPr="00B05CF5">
              <w:rPr>
                <w:rFonts w:ascii="Arial" w:hAnsi="Arial" w:cs="Arial"/>
                <w:spacing w:val="-2"/>
                <w:sz w:val="24"/>
                <w:szCs w:val="24"/>
              </w:rPr>
              <w:t>Climate Change/Carbon Clever</w:t>
            </w:r>
            <w:r>
              <w:rPr>
                <w:rFonts w:ascii="Arial" w:hAnsi="Arial" w:cs="Arial"/>
                <w:spacing w:val="-2"/>
                <w:sz w:val="24"/>
                <w:szCs w:val="24"/>
              </w:rPr>
              <w:t xml:space="preserve">:  </w:t>
            </w:r>
            <w:r w:rsidR="004D6CE4">
              <w:rPr>
                <w:rFonts w:ascii="Arial" w:hAnsi="Arial" w:cs="Arial"/>
                <w:spacing w:val="-2"/>
                <w:sz w:val="24"/>
                <w:szCs w:val="24"/>
              </w:rPr>
              <w:t>A</w:t>
            </w:r>
            <w:r w:rsidR="00624385">
              <w:rPr>
                <w:rFonts w:ascii="Arial" w:hAnsi="Arial" w:cs="Arial"/>
                <w:spacing w:val="-2"/>
                <w:sz w:val="24"/>
                <w:szCs w:val="24"/>
              </w:rPr>
              <w:t xml:space="preserve"> number of indicators are useful in supporting improvement </w:t>
            </w:r>
            <w:r w:rsidR="00736038">
              <w:rPr>
                <w:rFonts w:ascii="Arial" w:hAnsi="Arial" w:cs="Arial"/>
                <w:spacing w:val="-2"/>
                <w:sz w:val="24"/>
                <w:szCs w:val="24"/>
              </w:rPr>
              <w:t>activity including</w:t>
            </w:r>
            <w:r w:rsidR="00624385">
              <w:rPr>
                <w:rFonts w:ascii="Arial" w:hAnsi="Arial" w:cs="Arial"/>
                <w:spacing w:val="-2"/>
                <w:sz w:val="24"/>
                <w:szCs w:val="24"/>
              </w:rPr>
              <w:t xml:space="preserve"> women in management, asset management (premise</w:t>
            </w:r>
            <w:r w:rsidR="004D6CE4">
              <w:rPr>
                <w:rFonts w:ascii="Arial" w:hAnsi="Arial" w:cs="Arial"/>
                <w:spacing w:val="-2"/>
                <w:sz w:val="24"/>
                <w:szCs w:val="24"/>
              </w:rPr>
              <w:t>s</w:t>
            </w:r>
            <w:r w:rsidR="00624385">
              <w:rPr>
                <w:rFonts w:ascii="Arial" w:hAnsi="Arial" w:cs="Arial"/>
                <w:spacing w:val="-2"/>
                <w:sz w:val="24"/>
                <w:szCs w:val="24"/>
              </w:rPr>
              <w:t xml:space="preserve"> </w:t>
            </w:r>
            <w:r w:rsidR="00736038">
              <w:rPr>
                <w:rFonts w:ascii="Arial" w:hAnsi="Arial" w:cs="Arial"/>
                <w:spacing w:val="-2"/>
                <w:sz w:val="24"/>
                <w:szCs w:val="24"/>
              </w:rPr>
              <w:t>access/</w:t>
            </w:r>
            <w:r w:rsidR="00624385">
              <w:rPr>
                <w:rFonts w:ascii="Arial" w:hAnsi="Arial" w:cs="Arial"/>
                <w:spacing w:val="-2"/>
                <w:sz w:val="24"/>
                <w:szCs w:val="24"/>
              </w:rPr>
              <w:t xml:space="preserve">condition), </w:t>
            </w:r>
            <w:r w:rsidR="00736038">
              <w:rPr>
                <w:rFonts w:ascii="Arial" w:hAnsi="Arial" w:cs="Arial"/>
                <w:spacing w:val="-2"/>
                <w:sz w:val="24"/>
                <w:szCs w:val="24"/>
              </w:rPr>
              <w:t xml:space="preserve">street lighting </w:t>
            </w:r>
            <w:r w:rsidR="00624385">
              <w:rPr>
                <w:rFonts w:ascii="Arial" w:hAnsi="Arial" w:cs="Arial"/>
                <w:spacing w:val="-2"/>
                <w:sz w:val="24"/>
                <w:szCs w:val="24"/>
              </w:rPr>
              <w:t xml:space="preserve">electricity </w:t>
            </w:r>
            <w:r w:rsidR="00736038">
              <w:rPr>
                <w:rFonts w:ascii="Arial" w:hAnsi="Arial" w:cs="Arial"/>
                <w:spacing w:val="-2"/>
                <w:sz w:val="24"/>
                <w:szCs w:val="24"/>
              </w:rPr>
              <w:t xml:space="preserve">costs, waste recycling and </w:t>
            </w:r>
            <w:r w:rsidR="00736038" w:rsidRPr="00736038">
              <w:rPr>
                <w:rFonts w:ascii="Arial" w:hAnsi="Arial" w:cs="Arial"/>
                <w:spacing w:val="-2"/>
                <w:sz w:val="24"/>
                <w:szCs w:val="24"/>
              </w:rPr>
              <w:t>Council carbon emissions tonnes CO2</w:t>
            </w:r>
            <w:r w:rsidR="004D6CE4">
              <w:rPr>
                <w:rFonts w:ascii="Arial" w:hAnsi="Arial" w:cs="Arial"/>
                <w:spacing w:val="-2"/>
                <w:sz w:val="24"/>
                <w:szCs w:val="24"/>
              </w:rPr>
              <w:t xml:space="preserve">. </w:t>
            </w:r>
          </w:p>
        </w:tc>
      </w:tr>
    </w:tbl>
    <w:p w:rsidR="00060B2B" w:rsidRDefault="00060B2B" w:rsidP="007D37ED">
      <w:pPr>
        <w:rPr>
          <w:rFonts w:ascii="Arial" w:hAnsi="Arial" w:cs="Arial"/>
          <w:b/>
          <w:sz w:val="24"/>
          <w:szCs w:val="24"/>
        </w:rPr>
      </w:pPr>
    </w:p>
    <w:tbl>
      <w:tblPr>
        <w:tblW w:w="10055" w:type="dxa"/>
        <w:tblLook w:val="0000" w:firstRow="0" w:lastRow="0" w:firstColumn="0" w:lastColumn="0" w:noHBand="0" w:noVBand="0"/>
      </w:tblPr>
      <w:tblGrid>
        <w:gridCol w:w="550"/>
        <w:gridCol w:w="9505"/>
      </w:tblGrid>
      <w:tr w:rsidR="00BC335A" w:rsidTr="00AC3181">
        <w:trPr>
          <w:trHeight w:val="1268"/>
        </w:trPr>
        <w:tc>
          <w:tcPr>
            <w:tcW w:w="550" w:type="dxa"/>
          </w:tcPr>
          <w:p w:rsidR="00BC335A" w:rsidRPr="000F64BD" w:rsidRDefault="00C807AB" w:rsidP="004D6CE4">
            <w:pPr>
              <w:rPr>
                <w:rFonts w:ascii="Arial" w:hAnsi="Arial" w:cs="Arial"/>
                <w:sz w:val="24"/>
                <w:szCs w:val="24"/>
              </w:rPr>
            </w:pPr>
            <w:r w:rsidRPr="000F64BD">
              <w:rPr>
                <w:rFonts w:ascii="Arial" w:hAnsi="Arial" w:cs="Arial"/>
                <w:sz w:val="24"/>
                <w:szCs w:val="24"/>
              </w:rPr>
              <w:t>5</w:t>
            </w:r>
            <w:r w:rsidR="00BC335A" w:rsidRPr="000F64BD">
              <w:rPr>
                <w:rFonts w:ascii="Arial" w:hAnsi="Arial" w:cs="Arial"/>
                <w:sz w:val="24"/>
                <w:szCs w:val="24"/>
              </w:rPr>
              <w:t>.4</w:t>
            </w:r>
          </w:p>
          <w:p w:rsidR="00BC335A" w:rsidRPr="000F64BD" w:rsidRDefault="00BC335A" w:rsidP="004D6CE4">
            <w:pPr>
              <w:rPr>
                <w:rFonts w:ascii="Arial" w:hAnsi="Arial" w:cs="Arial"/>
                <w:sz w:val="24"/>
                <w:szCs w:val="24"/>
              </w:rPr>
            </w:pPr>
          </w:p>
        </w:tc>
        <w:tc>
          <w:tcPr>
            <w:tcW w:w="9505" w:type="dxa"/>
          </w:tcPr>
          <w:p w:rsidR="00790BAC" w:rsidRPr="000F64BD" w:rsidRDefault="00532061" w:rsidP="004D6CE4">
            <w:pPr>
              <w:ind w:left="34"/>
              <w:rPr>
                <w:rFonts w:ascii="Arial" w:hAnsi="Arial" w:cs="Arial"/>
                <w:spacing w:val="-2"/>
                <w:sz w:val="24"/>
                <w:szCs w:val="24"/>
              </w:rPr>
            </w:pPr>
            <w:r w:rsidRPr="000F64BD">
              <w:rPr>
                <w:rFonts w:ascii="Arial" w:hAnsi="Arial" w:cs="Arial"/>
                <w:spacing w:val="-2"/>
                <w:sz w:val="24"/>
                <w:szCs w:val="24"/>
              </w:rPr>
              <w:t xml:space="preserve">Risk: Audit Scotland produces an annual Assurance and Improvement Plan for the Council which assesses, with other scrutiny bodies, </w:t>
            </w:r>
            <w:r w:rsidR="00790BAC" w:rsidRPr="000F64BD">
              <w:rPr>
                <w:rFonts w:ascii="Arial" w:hAnsi="Arial" w:cs="Arial"/>
                <w:spacing w:val="-2"/>
                <w:sz w:val="24"/>
                <w:szCs w:val="24"/>
              </w:rPr>
              <w:t>our performance including our SPIs.</w:t>
            </w:r>
            <w:r w:rsidRPr="000F64BD">
              <w:rPr>
                <w:rFonts w:ascii="Arial" w:hAnsi="Arial" w:cs="Arial"/>
                <w:spacing w:val="-2"/>
                <w:sz w:val="24"/>
                <w:szCs w:val="24"/>
              </w:rPr>
              <w:t xml:space="preserve">  As reported to Council </w:t>
            </w:r>
            <w:r w:rsidR="00790BAC" w:rsidRPr="000F64BD">
              <w:rPr>
                <w:rFonts w:ascii="Arial" w:hAnsi="Arial" w:cs="Arial"/>
                <w:spacing w:val="-2"/>
                <w:sz w:val="24"/>
                <w:szCs w:val="24"/>
              </w:rPr>
              <w:t>in May 201</w:t>
            </w:r>
            <w:r w:rsidR="00C2495E" w:rsidRPr="000F64BD">
              <w:rPr>
                <w:rFonts w:ascii="Arial" w:hAnsi="Arial" w:cs="Arial"/>
                <w:spacing w:val="-2"/>
                <w:sz w:val="24"/>
                <w:szCs w:val="24"/>
              </w:rPr>
              <w:t>5</w:t>
            </w:r>
            <w:r w:rsidR="00790BAC" w:rsidRPr="000F64BD">
              <w:rPr>
                <w:rFonts w:ascii="Arial" w:hAnsi="Arial" w:cs="Arial"/>
                <w:spacing w:val="-2"/>
                <w:sz w:val="24"/>
                <w:szCs w:val="24"/>
              </w:rPr>
              <w:t xml:space="preserve"> </w:t>
            </w:r>
            <w:r w:rsidRPr="000F64BD">
              <w:rPr>
                <w:rFonts w:ascii="Arial" w:hAnsi="Arial" w:cs="Arial"/>
                <w:spacing w:val="-2"/>
                <w:sz w:val="24"/>
                <w:szCs w:val="24"/>
              </w:rPr>
              <w:t>there are no significant scrutiny ri</w:t>
            </w:r>
            <w:r w:rsidR="00CB5CC1" w:rsidRPr="000F64BD">
              <w:rPr>
                <w:rFonts w:ascii="Arial" w:hAnsi="Arial" w:cs="Arial"/>
                <w:spacing w:val="-2"/>
                <w:sz w:val="24"/>
                <w:szCs w:val="24"/>
              </w:rPr>
              <w:t xml:space="preserve">sks identified for the Council and </w:t>
            </w:r>
            <w:r w:rsidR="00790BAC" w:rsidRPr="000F64BD">
              <w:rPr>
                <w:rFonts w:ascii="Arial" w:hAnsi="Arial" w:cs="Arial"/>
                <w:spacing w:val="-2"/>
                <w:sz w:val="24"/>
                <w:szCs w:val="24"/>
              </w:rPr>
              <w:t xml:space="preserve">also </w:t>
            </w:r>
            <w:r w:rsidR="00CB5CC1" w:rsidRPr="000F64BD">
              <w:rPr>
                <w:rFonts w:ascii="Arial" w:hAnsi="Arial" w:cs="Arial"/>
                <w:spacing w:val="-2"/>
                <w:sz w:val="24"/>
                <w:szCs w:val="24"/>
              </w:rPr>
              <w:t>highlight</w:t>
            </w:r>
            <w:r w:rsidR="00790BAC" w:rsidRPr="000F64BD">
              <w:rPr>
                <w:rFonts w:ascii="Arial" w:hAnsi="Arial" w:cs="Arial"/>
                <w:spacing w:val="-2"/>
                <w:sz w:val="24"/>
                <w:szCs w:val="24"/>
              </w:rPr>
              <w:t>ed improvement in public performance reporting.</w:t>
            </w:r>
          </w:p>
          <w:p w:rsidR="004D6CE4" w:rsidRPr="000F64BD" w:rsidRDefault="004D6CE4" w:rsidP="004D6CE4">
            <w:pPr>
              <w:rPr>
                <w:rFonts w:ascii="Arial" w:hAnsi="Arial" w:cs="Arial"/>
                <w:spacing w:val="-2"/>
                <w:sz w:val="24"/>
                <w:szCs w:val="24"/>
              </w:rPr>
            </w:pPr>
          </w:p>
        </w:tc>
      </w:tr>
      <w:tr w:rsidR="004D6CE4" w:rsidTr="004D6CE4">
        <w:trPr>
          <w:trHeight w:val="321"/>
        </w:trPr>
        <w:tc>
          <w:tcPr>
            <w:tcW w:w="550" w:type="dxa"/>
          </w:tcPr>
          <w:p w:rsidR="004D6CE4" w:rsidRDefault="00C807AB" w:rsidP="004D6CE4">
            <w:pPr>
              <w:rPr>
                <w:rFonts w:ascii="Arial" w:hAnsi="Arial" w:cs="Arial"/>
                <w:sz w:val="24"/>
                <w:szCs w:val="24"/>
              </w:rPr>
            </w:pPr>
            <w:r>
              <w:rPr>
                <w:rFonts w:ascii="Arial" w:hAnsi="Arial" w:cs="Arial"/>
                <w:sz w:val="24"/>
                <w:szCs w:val="24"/>
              </w:rPr>
              <w:t>5</w:t>
            </w:r>
            <w:r w:rsidR="004D6CE4">
              <w:rPr>
                <w:rFonts w:ascii="Arial" w:hAnsi="Arial" w:cs="Arial"/>
                <w:sz w:val="24"/>
                <w:szCs w:val="24"/>
              </w:rPr>
              <w:t>.5</w:t>
            </w:r>
          </w:p>
        </w:tc>
        <w:tc>
          <w:tcPr>
            <w:tcW w:w="9505" w:type="dxa"/>
          </w:tcPr>
          <w:p w:rsidR="004D6CE4" w:rsidRDefault="004D6CE4" w:rsidP="004D6CE4">
            <w:pPr>
              <w:ind w:left="34"/>
              <w:rPr>
                <w:rFonts w:ascii="Arial" w:hAnsi="Arial" w:cs="Arial"/>
                <w:spacing w:val="-2"/>
                <w:sz w:val="24"/>
                <w:szCs w:val="24"/>
              </w:rPr>
            </w:pPr>
            <w:r>
              <w:rPr>
                <w:rFonts w:ascii="Arial" w:hAnsi="Arial" w:cs="Arial"/>
                <w:spacing w:val="-2"/>
                <w:sz w:val="24"/>
                <w:szCs w:val="24"/>
              </w:rPr>
              <w:t>Gaelic</w:t>
            </w:r>
            <w:r w:rsidRPr="004D6CE4">
              <w:rPr>
                <w:rFonts w:ascii="Arial" w:hAnsi="Arial" w:cs="Arial"/>
                <w:i/>
                <w:spacing w:val="-2"/>
                <w:sz w:val="24"/>
                <w:szCs w:val="24"/>
              </w:rPr>
              <w:t xml:space="preserve">: </w:t>
            </w:r>
            <w:r w:rsidRPr="004D6CE4">
              <w:rPr>
                <w:rFonts w:ascii="Arial" w:hAnsi="Arial" w:cs="Arial"/>
                <w:spacing w:val="-2"/>
                <w:sz w:val="24"/>
                <w:szCs w:val="24"/>
              </w:rPr>
              <w:t>There are no implications arising</w:t>
            </w:r>
            <w:r>
              <w:rPr>
                <w:rFonts w:ascii="Arial" w:hAnsi="Arial" w:cs="Arial"/>
                <w:spacing w:val="-2"/>
                <w:sz w:val="24"/>
                <w:szCs w:val="24"/>
              </w:rPr>
              <w:t xml:space="preserve"> from this report.</w:t>
            </w:r>
          </w:p>
          <w:p w:rsidR="004D6CE4" w:rsidRDefault="004D6CE4" w:rsidP="004D6CE4">
            <w:pPr>
              <w:ind w:left="34"/>
              <w:rPr>
                <w:rFonts w:ascii="Arial" w:hAnsi="Arial" w:cs="Arial"/>
                <w:spacing w:val="-2"/>
                <w:sz w:val="24"/>
                <w:szCs w:val="24"/>
              </w:rPr>
            </w:pPr>
          </w:p>
        </w:tc>
      </w:tr>
      <w:tr w:rsidR="004D6CE4" w:rsidTr="00AC3181">
        <w:trPr>
          <w:trHeight w:val="1268"/>
        </w:trPr>
        <w:tc>
          <w:tcPr>
            <w:tcW w:w="550" w:type="dxa"/>
          </w:tcPr>
          <w:p w:rsidR="004D6CE4" w:rsidRDefault="00C807AB" w:rsidP="004D6CE4">
            <w:pPr>
              <w:rPr>
                <w:rFonts w:ascii="Arial" w:hAnsi="Arial" w:cs="Arial"/>
                <w:sz w:val="24"/>
                <w:szCs w:val="24"/>
              </w:rPr>
            </w:pPr>
            <w:r>
              <w:rPr>
                <w:rFonts w:ascii="Arial" w:hAnsi="Arial" w:cs="Arial"/>
                <w:sz w:val="24"/>
                <w:szCs w:val="24"/>
              </w:rPr>
              <w:t>5</w:t>
            </w:r>
            <w:r w:rsidR="004D6CE4">
              <w:rPr>
                <w:rFonts w:ascii="Arial" w:hAnsi="Arial" w:cs="Arial"/>
                <w:sz w:val="24"/>
                <w:szCs w:val="24"/>
              </w:rPr>
              <w:t>.6</w:t>
            </w:r>
          </w:p>
        </w:tc>
        <w:tc>
          <w:tcPr>
            <w:tcW w:w="9505" w:type="dxa"/>
          </w:tcPr>
          <w:p w:rsidR="004D6CE4" w:rsidRDefault="004D6CE4" w:rsidP="004D6CE4">
            <w:pPr>
              <w:ind w:left="34"/>
              <w:rPr>
                <w:rFonts w:ascii="Arial" w:hAnsi="Arial" w:cs="Arial"/>
                <w:spacing w:val="-2"/>
                <w:sz w:val="24"/>
                <w:szCs w:val="24"/>
              </w:rPr>
            </w:pPr>
            <w:r>
              <w:rPr>
                <w:rFonts w:ascii="Arial" w:hAnsi="Arial" w:cs="Arial"/>
                <w:spacing w:val="-2"/>
                <w:sz w:val="24"/>
                <w:szCs w:val="24"/>
              </w:rPr>
              <w:t xml:space="preserve">Rural: It is worth noting that the rural nature of Highland often means the unit cost of service delivery is </w:t>
            </w:r>
            <w:r w:rsidR="00736038">
              <w:rPr>
                <w:rFonts w:ascii="Arial" w:hAnsi="Arial" w:cs="Arial"/>
                <w:spacing w:val="-2"/>
                <w:sz w:val="24"/>
                <w:szCs w:val="24"/>
              </w:rPr>
              <w:t xml:space="preserve">often </w:t>
            </w:r>
            <w:r>
              <w:rPr>
                <w:rFonts w:ascii="Arial" w:hAnsi="Arial" w:cs="Arial"/>
                <w:spacing w:val="-2"/>
                <w:sz w:val="24"/>
                <w:szCs w:val="24"/>
              </w:rPr>
              <w:t>higher and this presents a further challenge to achieving continuous improvement.</w:t>
            </w:r>
          </w:p>
        </w:tc>
      </w:tr>
    </w:tbl>
    <w:p w:rsidR="004D6CE4" w:rsidRPr="0043501F" w:rsidRDefault="004D6CE4" w:rsidP="00644613">
      <w:pPr>
        <w:jc w:val="both"/>
        <w:rPr>
          <w:rFonts w:ascii="Arial" w:hAnsi="Arial" w:cs="Arial"/>
          <w:sz w:val="24"/>
          <w:szCs w:val="24"/>
        </w:rPr>
      </w:pPr>
    </w:p>
    <w:tbl>
      <w:tblPr>
        <w:tblW w:w="921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060B2B" w:rsidRPr="0043501F" w:rsidTr="006970F5">
        <w:trPr>
          <w:trHeight w:val="1150"/>
        </w:trPr>
        <w:tc>
          <w:tcPr>
            <w:tcW w:w="9214" w:type="dxa"/>
          </w:tcPr>
          <w:p w:rsidR="00060B2B" w:rsidRPr="0043501F" w:rsidRDefault="00C807AB" w:rsidP="00644613">
            <w:pPr>
              <w:pStyle w:val="Heading1"/>
              <w:rPr>
                <w:rFonts w:ascii="Arial" w:hAnsi="Arial" w:cs="Arial"/>
                <w:szCs w:val="24"/>
              </w:rPr>
            </w:pPr>
            <w:r>
              <w:rPr>
                <w:rFonts w:ascii="Arial" w:hAnsi="Arial" w:cs="Arial"/>
                <w:szCs w:val="24"/>
              </w:rPr>
              <w:t>6</w:t>
            </w:r>
            <w:r w:rsidR="00E70725" w:rsidRPr="0043501F">
              <w:rPr>
                <w:rFonts w:ascii="Arial" w:hAnsi="Arial" w:cs="Arial"/>
                <w:szCs w:val="24"/>
              </w:rPr>
              <w:t xml:space="preserve">. </w:t>
            </w:r>
            <w:r w:rsidR="00060B2B" w:rsidRPr="0043501F">
              <w:rPr>
                <w:rFonts w:ascii="Arial" w:hAnsi="Arial" w:cs="Arial"/>
                <w:szCs w:val="24"/>
              </w:rPr>
              <w:t>Recommendation</w:t>
            </w:r>
            <w:r w:rsidR="00FA05A5">
              <w:rPr>
                <w:rFonts w:ascii="Arial" w:hAnsi="Arial" w:cs="Arial"/>
                <w:szCs w:val="24"/>
              </w:rPr>
              <w:t>s</w:t>
            </w:r>
          </w:p>
          <w:p w:rsidR="00CB380C" w:rsidRDefault="008E467A" w:rsidP="00F302B9">
            <w:pPr>
              <w:tabs>
                <w:tab w:val="left" w:pos="633"/>
              </w:tabs>
              <w:jc w:val="both"/>
              <w:rPr>
                <w:rFonts w:ascii="Arial" w:hAnsi="Arial" w:cs="Arial"/>
                <w:sz w:val="24"/>
                <w:szCs w:val="24"/>
              </w:rPr>
            </w:pPr>
            <w:r w:rsidRPr="00D408A8">
              <w:rPr>
                <w:rFonts w:ascii="Arial" w:hAnsi="Arial" w:cs="Arial"/>
                <w:sz w:val="24"/>
                <w:szCs w:val="24"/>
              </w:rPr>
              <w:t>Members are asked</w:t>
            </w:r>
            <w:r w:rsidR="00CB380C">
              <w:rPr>
                <w:rFonts w:ascii="Arial" w:hAnsi="Arial" w:cs="Arial"/>
                <w:sz w:val="24"/>
                <w:szCs w:val="24"/>
              </w:rPr>
              <w:t xml:space="preserve"> to:</w:t>
            </w:r>
          </w:p>
          <w:p w:rsidR="00F302B9" w:rsidRDefault="00CB380C" w:rsidP="00F302B9">
            <w:pPr>
              <w:tabs>
                <w:tab w:val="left" w:pos="633"/>
              </w:tabs>
              <w:jc w:val="both"/>
              <w:rPr>
                <w:rFonts w:ascii="Arial" w:hAnsi="Arial" w:cs="Arial"/>
                <w:sz w:val="24"/>
                <w:szCs w:val="24"/>
              </w:rPr>
            </w:pPr>
            <w:r>
              <w:rPr>
                <w:rFonts w:ascii="Arial" w:hAnsi="Arial" w:cs="Arial"/>
                <w:sz w:val="24"/>
                <w:szCs w:val="24"/>
              </w:rPr>
              <w:t>6.1 N</w:t>
            </w:r>
            <w:r w:rsidR="00F302B9" w:rsidRPr="00D408A8">
              <w:rPr>
                <w:rFonts w:ascii="Arial" w:hAnsi="Arial" w:cs="Arial"/>
                <w:sz w:val="24"/>
                <w:szCs w:val="24"/>
              </w:rPr>
              <w:t>ote and comment on the out-turn of SPIs for 201</w:t>
            </w:r>
            <w:r w:rsidR="00C2495E">
              <w:rPr>
                <w:rFonts w:ascii="Arial" w:hAnsi="Arial" w:cs="Arial"/>
                <w:sz w:val="24"/>
                <w:szCs w:val="24"/>
              </w:rPr>
              <w:t>4</w:t>
            </w:r>
            <w:r w:rsidR="00F302B9" w:rsidRPr="00D408A8">
              <w:rPr>
                <w:rFonts w:ascii="Arial" w:hAnsi="Arial" w:cs="Arial"/>
                <w:sz w:val="24"/>
                <w:szCs w:val="24"/>
              </w:rPr>
              <w:t>/1</w:t>
            </w:r>
            <w:r w:rsidR="00C2495E">
              <w:rPr>
                <w:rFonts w:ascii="Arial" w:hAnsi="Arial" w:cs="Arial"/>
                <w:sz w:val="24"/>
                <w:szCs w:val="24"/>
              </w:rPr>
              <w:t>5</w:t>
            </w:r>
            <w:r w:rsidR="001C013A">
              <w:rPr>
                <w:rFonts w:ascii="Arial" w:hAnsi="Arial" w:cs="Arial"/>
                <w:sz w:val="24"/>
                <w:szCs w:val="24"/>
              </w:rPr>
              <w:t xml:space="preserve"> and where relevant th</w:t>
            </w:r>
            <w:r>
              <w:rPr>
                <w:rFonts w:ascii="Arial" w:hAnsi="Arial" w:cs="Arial"/>
                <w:sz w:val="24"/>
                <w:szCs w:val="24"/>
              </w:rPr>
              <w:t>eir national benchmark position;</w:t>
            </w:r>
          </w:p>
          <w:p w:rsidR="00F302B9" w:rsidRDefault="00CB380C" w:rsidP="00A209F6">
            <w:pPr>
              <w:tabs>
                <w:tab w:val="left" w:pos="633"/>
              </w:tabs>
              <w:jc w:val="both"/>
              <w:rPr>
                <w:rFonts w:ascii="Arial" w:hAnsi="Arial" w:cs="Arial"/>
                <w:sz w:val="24"/>
                <w:szCs w:val="24"/>
              </w:rPr>
            </w:pPr>
            <w:r>
              <w:rPr>
                <w:rFonts w:ascii="Arial" w:hAnsi="Arial" w:cs="Arial"/>
                <w:sz w:val="24"/>
                <w:szCs w:val="24"/>
              </w:rPr>
              <w:t>6.2 Agree that reports are submitted to Strategic Committee</w:t>
            </w:r>
            <w:r w:rsidR="00F77953">
              <w:rPr>
                <w:rFonts w:ascii="Arial" w:hAnsi="Arial" w:cs="Arial"/>
                <w:sz w:val="24"/>
                <w:szCs w:val="24"/>
              </w:rPr>
              <w:t>s</w:t>
            </w:r>
            <w:r>
              <w:rPr>
                <w:rFonts w:ascii="Arial" w:hAnsi="Arial" w:cs="Arial"/>
                <w:sz w:val="24"/>
                <w:szCs w:val="24"/>
              </w:rPr>
              <w:t xml:space="preserve"> as the next cycle to provide detailed analysis </w:t>
            </w:r>
            <w:r w:rsidR="00B3099D">
              <w:rPr>
                <w:rFonts w:ascii="Arial" w:hAnsi="Arial" w:cs="Arial"/>
                <w:sz w:val="24"/>
                <w:szCs w:val="24"/>
              </w:rPr>
              <w:t>of SPis and improvement actions.</w:t>
            </w:r>
          </w:p>
          <w:p w:rsidR="00124D69" w:rsidRPr="009F3FC8" w:rsidRDefault="00124D69" w:rsidP="00B4100B">
            <w:pPr>
              <w:ind w:left="459" w:hanging="459"/>
              <w:rPr>
                <w:rFonts w:ascii="Arial" w:hAnsi="Arial" w:cs="Arial"/>
                <w:sz w:val="24"/>
                <w:szCs w:val="24"/>
              </w:rPr>
            </w:pPr>
          </w:p>
        </w:tc>
      </w:tr>
    </w:tbl>
    <w:p w:rsidR="00153E1A" w:rsidRDefault="00153E1A" w:rsidP="00644613">
      <w:pPr>
        <w:spacing w:line="480" w:lineRule="auto"/>
        <w:jc w:val="both"/>
        <w:rPr>
          <w:rFonts w:ascii="Arial" w:hAnsi="Arial" w:cs="Arial"/>
          <w:sz w:val="24"/>
          <w:szCs w:val="24"/>
        </w:rPr>
      </w:pPr>
    </w:p>
    <w:p w:rsidR="000A509D" w:rsidRDefault="000A509D" w:rsidP="00644613">
      <w:pPr>
        <w:spacing w:line="480" w:lineRule="auto"/>
        <w:jc w:val="both"/>
        <w:rPr>
          <w:rFonts w:ascii="Arial" w:hAnsi="Arial" w:cs="Arial"/>
          <w:sz w:val="24"/>
          <w:szCs w:val="24"/>
        </w:rPr>
      </w:pPr>
      <w:r>
        <w:rPr>
          <w:rFonts w:ascii="Arial" w:hAnsi="Arial" w:cs="Arial"/>
          <w:sz w:val="24"/>
          <w:szCs w:val="24"/>
        </w:rPr>
        <w:t xml:space="preserve">Signature: </w:t>
      </w:r>
      <w:r w:rsidR="000112EC">
        <w:rPr>
          <w:rFonts w:ascii="Arial" w:hAnsi="Arial" w:cs="Arial"/>
          <w:sz w:val="24"/>
          <w:szCs w:val="24"/>
        </w:rPr>
        <w:tab/>
      </w:r>
    </w:p>
    <w:p w:rsidR="000A509D" w:rsidRDefault="008E467A" w:rsidP="00644613">
      <w:pPr>
        <w:spacing w:line="480" w:lineRule="auto"/>
        <w:jc w:val="both"/>
        <w:rPr>
          <w:rFonts w:ascii="Arial" w:hAnsi="Arial" w:cs="Arial"/>
          <w:sz w:val="24"/>
          <w:szCs w:val="24"/>
        </w:rPr>
      </w:pPr>
      <w:r>
        <w:rPr>
          <w:rFonts w:ascii="Arial" w:hAnsi="Arial" w:cs="Arial"/>
          <w:sz w:val="24"/>
          <w:szCs w:val="24"/>
        </w:rPr>
        <w:t>Designation:</w:t>
      </w:r>
      <w:r>
        <w:rPr>
          <w:rFonts w:ascii="Arial" w:hAnsi="Arial" w:cs="Arial"/>
          <w:sz w:val="24"/>
          <w:szCs w:val="24"/>
        </w:rPr>
        <w:tab/>
        <w:t>Chief Executive</w:t>
      </w:r>
    </w:p>
    <w:p w:rsidR="00060B2B" w:rsidRPr="0043501F" w:rsidRDefault="009F3FC8" w:rsidP="00644613">
      <w:pPr>
        <w:spacing w:line="480" w:lineRule="auto"/>
        <w:jc w:val="both"/>
        <w:rPr>
          <w:rFonts w:ascii="Arial" w:hAnsi="Arial" w:cs="Arial"/>
          <w:sz w:val="24"/>
          <w:szCs w:val="24"/>
        </w:rPr>
      </w:pPr>
      <w:r>
        <w:rPr>
          <w:rFonts w:ascii="Arial" w:hAnsi="Arial" w:cs="Arial"/>
          <w:sz w:val="24"/>
          <w:szCs w:val="24"/>
        </w:rPr>
        <w:t>A</w:t>
      </w:r>
      <w:r w:rsidR="00060B2B" w:rsidRPr="0043501F">
        <w:rPr>
          <w:rFonts w:ascii="Arial" w:hAnsi="Arial" w:cs="Arial"/>
          <w:sz w:val="24"/>
          <w:szCs w:val="24"/>
        </w:rPr>
        <w:t>uthor:</w:t>
      </w:r>
      <w:r w:rsidR="00060B2B" w:rsidRPr="0043501F">
        <w:rPr>
          <w:rFonts w:ascii="Arial" w:hAnsi="Arial" w:cs="Arial"/>
          <w:sz w:val="24"/>
          <w:szCs w:val="24"/>
        </w:rPr>
        <w:tab/>
      </w:r>
      <w:smartTag w:uri="urn:schemas-microsoft-com:office:smarttags" w:element="PersonName">
        <w:r w:rsidR="00126625">
          <w:rPr>
            <w:rFonts w:ascii="Arial" w:hAnsi="Arial" w:cs="Arial"/>
            <w:sz w:val="24"/>
            <w:szCs w:val="24"/>
          </w:rPr>
          <w:t>Evelyn Johnston</w:t>
        </w:r>
      </w:smartTag>
      <w:r w:rsidR="008E467A">
        <w:rPr>
          <w:rFonts w:ascii="Arial" w:hAnsi="Arial" w:cs="Arial"/>
          <w:sz w:val="24"/>
          <w:szCs w:val="24"/>
        </w:rPr>
        <w:t xml:space="preserve">, </w:t>
      </w:r>
      <w:r w:rsidR="009972DF">
        <w:rPr>
          <w:rFonts w:ascii="Arial" w:hAnsi="Arial" w:cs="Arial"/>
          <w:sz w:val="24"/>
          <w:szCs w:val="24"/>
        </w:rPr>
        <w:t>Corporate</w:t>
      </w:r>
      <w:r w:rsidR="00507A57">
        <w:rPr>
          <w:rFonts w:ascii="Arial" w:hAnsi="Arial" w:cs="Arial"/>
          <w:sz w:val="24"/>
          <w:szCs w:val="24"/>
        </w:rPr>
        <w:t xml:space="preserve"> Performance Manager</w:t>
      </w:r>
    </w:p>
    <w:p w:rsidR="00060B2B" w:rsidRDefault="00060B2B" w:rsidP="00644613">
      <w:pPr>
        <w:spacing w:line="480" w:lineRule="auto"/>
        <w:jc w:val="both"/>
        <w:rPr>
          <w:rFonts w:ascii="Arial" w:hAnsi="Arial" w:cs="Arial"/>
          <w:sz w:val="24"/>
          <w:szCs w:val="24"/>
        </w:rPr>
      </w:pPr>
      <w:r w:rsidRPr="0043501F">
        <w:rPr>
          <w:rFonts w:ascii="Arial" w:hAnsi="Arial" w:cs="Arial"/>
          <w:sz w:val="24"/>
          <w:szCs w:val="24"/>
        </w:rPr>
        <w:t xml:space="preserve">Date: </w:t>
      </w:r>
      <w:r w:rsidR="00126625">
        <w:rPr>
          <w:rFonts w:ascii="Arial" w:hAnsi="Arial" w:cs="Arial"/>
          <w:sz w:val="24"/>
          <w:szCs w:val="24"/>
        </w:rPr>
        <w:tab/>
      </w:r>
      <w:r w:rsidR="00BB1AE9">
        <w:rPr>
          <w:rFonts w:ascii="Arial" w:hAnsi="Arial" w:cs="Arial"/>
          <w:sz w:val="24"/>
          <w:szCs w:val="24"/>
        </w:rPr>
        <w:tab/>
      </w:r>
      <w:r w:rsidR="009344FE">
        <w:rPr>
          <w:rFonts w:ascii="Arial" w:hAnsi="Arial" w:cs="Arial"/>
          <w:sz w:val="24"/>
          <w:szCs w:val="24"/>
        </w:rPr>
        <w:t>08.02.</w:t>
      </w:r>
      <w:r w:rsidR="00C2495E">
        <w:rPr>
          <w:rFonts w:ascii="Arial" w:hAnsi="Arial" w:cs="Arial"/>
          <w:sz w:val="24"/>
          <w:szCs w:val="24"/>
        </w:rPr>
        <w:t>16</w:t>
      </w:r>
    </w:p>
    <w:p w:rsidR="002B636D" w:rsidRDefault="008E467A" w:rsidP="00644613">
      <w:pPr>
        <w:jc w:val="both"/>
        <w:rPr>
          <w:rFonts w:ascii="Arial" w:hAnsi="Arial" w:cs="Arial"/>
          <w:sz w:val="24"/>
          <w:szCs w:val="24"/>
        </w:rPr>
      </w:pPr>
      <w:r>
        <w:rPr>
          <w:rFonts w:ascii="Arial" w:hAnsi="Arial" w:cs="Arial"/>
          <w:sz w:val="24"/>
          <w:szCs w:val="24"/>
        </w:rPr>
        <w:t>Appendix</w:t>
      </w:r>
      <w:r w:rsidR="00591C3F">
        <w:rPr>
          <w:rFonts w:ascii="Arial" w:hAnsi="Arial" w:cs="Arial"/>
          <w:sz w:val="24"/>
          <w:szCs w:val="24"/>
        </w:rPr>
        <w:t xml:space="preserve"> 1</w:t>
      </w:r>
      <w:r>
        <w:rPr>
          <w:rFonts w:ascii="Arial" w:hAnsi="Arial" w:cs="Arial"/>
          <w:sz w:val="24"/>
          <w:szCs w:val="24"/>
        </w:rPr>
        <w:t xml:space="preserve">: </w:t>
      </w:r>
      <w:r w:rsidR="002B636D">
        <w:rPr>
          <w:rFonts w:ascii="Arial" w:hAnsi="Arial" w:cs="Arial"/>
          <w:sz w:val="24"/>
          <w:szCs w:val="24"/>
        </w:rPr>
        <w:t>Statutory Performance Indicator Report 201</w:t>
      </w:r>
      <w:r w:rsidR="00186485">
        <w:rPr>
          <w:rFonts w:ascii="Arial" w:hAnsi="Arial" w:cs="Arial"/>
          <w:sz w:val="24"/>
          <w:szCs w:val="24"/>
        </w:rPr>
        <w:t>4/15</w:t>
      </w:r>
    </w:p>
    <w:p w:rsidR="00CC4919" w:rsidRDefault="00CC4919" w:rsidP="00644613">
      <w:pPr>
        <w:jc w:val="both"/>
        <w:rPr>
          <w:rFonts w:ascii="Arial" w:hAnsi="Arial" w:cs="Arial"/>
          <w:sz w:val="24"/>
          <w:szCs w:val="24"/>
        </w:rPr>
      </w:pPr>
      <w:r>
        <w:rPr>
          <w:rFonts w:ascii="Arial" w:hAnsi="Arial" w:cs="Arial"/>
          <w:sz w:val="24"/>
          <w:szCs w:val="24"/>
        </w:rPr>
        <w:t>Appendix 2: Local Government Benchmark Report 201</w:t>
      </w:r>
      <w:r w:rsidR="00186485">
        <w:rPr>
          <w:rFonts w:ascii="Arial" w:hAnsi="Arial" w:cs="Arial"/>
          <w:sz w:val="24"/>
          <w:szCs w:val="24"/>
        </w:rPr>
        <w:t>4/15</w:t>
      </w:r>
    </w:p>
    <w:p w:rsidR="00D9254C" w:rsidRDefault="00CC4919" w:rsidP="004F0868">
      <w:pPr>
        <w:jc w:val="both"/>
        <w:rPr>
          <w:sz w:val="24"/>
          <w:szCs w:val="24"/>
        </w:rPr>
      </w:pPr>
      <w:r>
        <w:rPr>
          <w:rFonts w:ascii="Arial" w:hAnsi="Arial" w:cs="Arial"/>
          <w:sz w:val="24"/>
          <w:szCs w:val="24"/>
        </w:rPr>
        <w:t>Appendix 3: Audit Direction Summary on SPIs</w:t>
      </w:r>
    </w:p>
    <w:p w:rsidR="00723747" w:rsidRDefault="00D408A8" w:rsidP="00075452">
      <w:pPr>
        <w:ind w:left="720"/>
        <w:rPr>
          <w:sz w:val="24"/>
          <w:szCs w:val="24"/>
        </w:rPr>
      </w:pPr>
      <w:r>
        <w:rPr>
          <w:sz w:val="24"/>
          <w:szCs w:val="24"/>
        </w:rPr>
        <w:br w:type="page"/>
      </w:r>
    </w:p>
    <w:tbl>
      <w:tblPr>
        <w:tblpPr w:leftFromText="180" w:rightFromText="180" w:vertAnchor="text" w:horzAnchor="margin" w:tblpY="-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225"/>
      </w:tblGrid>
      <w:tr w:rsidR="00723747" w:rsidRPr="00EC1EB8" w:rsidTr="00AD74C2">
        <w:tc>
          <w:tcPr>
            <w:tcW w:w="492" w:type="dxa"/>
          </w:tcPr>
          <w:p w:rsidR="00723747" w:rsidRPr="00723747" w:rsidRDefault="00723747" w:rsidP="00AD74C2">
            <w:pPr>
              <w:jc w:val="both"/>
              <w:rPr>
                <w:rFonts w:ascii="Arial" w:hAnsi="Arial" w:cs="Arial"/>
              </w:rPr>
            </w:pPr>
            <w:r w:rsidRPr="00723747">
              <w:rPr>
                <w:rFonts w:ascii="Arial" w:hAnsi="Arial" w:cs="Arial"/>
                <w:b/>
              </w:rPr>
              <w:lastRenderedPageBreak/>
              <w:sym w:font="Wingdings" w:char="F0FC"/>
            </w:r>
          </w:p>
        </w:tc>
        <w:tc>
          <w:tcPr>
            <w:tcW w:w="6225" w:type="dxa"/>
          </w:tcPr>
          <w:p w:rsidR="00723747" w:rsidRPr="00723747" w:rsidRDefault="00723747" w:rsidP="00AD74C2">
            <w:pPr>
              <w:jc w:val="both"/>
              <w:rPr>
                <w:rFonts w:ascii="Arial" w:hAnsi="Arial" w:cs="Arial"/>
                <w:sz w:val="16"/>
                <w:szCs w:val="16"/>
              </w:rPr>
            </w:pPr>
            <w:r w:rsidRPr="00723747">
              <w:rPr>
                <w:rFonts w:ascii="Arial" w:hAnsi="Arial" w:cs="Arial"/>
                <w:sz w:val="16"/>
                <w:szCs w:val="16"/>
              </w:rPr>
              <w:t>performance has improved by 5% or more.</w:t>
            </w:r>
          </w:p>
        </w:tc>
      </w:tr>
      <w:tr w:rsidR="00723747" w:rsidRPr="00EC1EB8" w:rsidTr="00AD74C2">
        <w:tc>
          <w:tcPr>
            <w:tcW w:w="492" w:type="dxa"/>
          </w:tcPr>
          <w:p w:rsidR="00723747" w:rsidRPr="00723747" w:rsidRDefault="00723747" w:rsidP="00AD74C2">
            <w:pPr>
              <w:jc w:val="both"/>
              <w:rPr>
                <w:rFonts w:ascii="Arial" w:hAnsi="Arial" w:cs="Arial"/>
              </w:rPr>
            </w:pPr>
            <w:r w:rsidRPr="00723747">
              <w:rPr>
                <w:rFonts w:ascii="Arial" w:hAnsi="Arial" w:cs="Arial"/>
                <w:b/>
              </w:rPr>
              <w:t>X</w:t>
            </w:r>
          </w:p>
        </w:tc>
        <w:tc>
          <w:tcPr>
            <w:tcW w:w="6225" w:type="dxa"/>
          </w:tcPr>
          <w:p w:rsidR="00723747" w:rsidRPr="00723747" w:rsidRDefault="00723747" w:rsidP="00AD74C2">
            <w:pPr>
              <w:jc w:val="both"/>
              <w:rPr>
                <w:rFonts w:ascii="Arial" w:hAnsi="Arial" w:cs="Arial"/>
                <w:sz w:val="16"/>
                <w:szCs w:val="16"/>
              </w:rPr>
            </w:pPr>
            <w:r w:rsidRPr="00723747">
              <w:rPr>
                <w:rFonts w:ascii="Arial" w:hAnsi="Arial" w:cs="Arial"/>
                <w:sz w:val="16"/>
                <w:szCs w:val="16"/>
              </w:rPr>
              <w:t>performance has declined by 5% or more.</w:t>
            </w:r>
          </w:p>
        </w:tc>
      </w:tr>
      <w:tr w:rsidR="00723747" w:rsidRPr="00EC1EB8" w:rsidTr="00AD74C2">
        <w:tc>
          <w:tcPr>
            <w:tcW w:w="492" w:type="dxa"/>
            <w:tcBorders>
              <w:bottom w:val="single" w:sz="4" w:space="0" w:color="auto"/>
            </w:tcBorders>
          </w:tcPr>
          <w:p w:rsidR="00723747" w:rsidRPr="00723747" w:rsidRDefault="00723747" w:rsidP="00AD74C2">
            <w:pPr>
              <w:jc w:val="both"/>
              <w:rPr>
                <w:rFonts w:ascii="Arial" w:hAnsi="Arial" w:cs="Arial"/>
              </w:rPr>
            </w:pPr>
            <w:r>
              <w:rPr>
                <w:rFonts w:ascii="Arial" w:hAnsi="Arial" w:cs="Arial"/>
                <w:b/>
              </w:rPr>
              <w:t>=</w:t>
            </w:r>
          </w:p>
        </w:tc>
        <w:tc>
          <w:tcPr>
            <w:tcW w:w="6225" w:type="dxa"/>
          </w:tcPr>
          <w:p w:rsidR="00723747" w:rsidRPr="00723747" w:rsidRDefault="00723747" w:rsidP="00AD74C2">
            <w:pPr>
              <w:jc w:val="both"/>
              <w:rPr>
                <w:rFonts w:ascii="Arial" w:hAnsi="Arial" w:cs="Arial"/>
                <w:sz w:val="16"/>
                <w:szCs w:val="16"/>
              </w:rPr>
            </w:pPr>
            <w:r w:rsidRPr="00723747">
              <w:rPr>
                <w:rFonts w:ascii="Arial" w:hAnsi="Arial" w:cs="Arial"/>
                <w:sz w:val="16"/>
                <w:szCs w:val="16"/>
              </w:rPr>
              <w:t xml:space="preserve">there is no significant change in performance </w:t>
            </w:r>
          </w:p>
        </w:tc>
      </w:tr>
      <w:tr w:rsidR="00723747" w:rsidRPr="00EC1EB8" w:rsidTr="00AD74C2">
        <w:tc>
          <w:tcPr>
            <w:tcW w:w="492" w:type="dxa"/>
            <w:shd w:val="clear" w:color="auto" w:fill="A6A6A6"/>
          </w:tcPr>
          <w:p w:rsidR="00723747" w:rsidRPr="00723747" w:rsidRDefault="00723747" w:rsidP="00AD74C2">
            <w:pPr>
              <w:jc w:val="both"/>
              <w:rPr>
                <w:rFonts w:ascii="Arial" w:hAnsi="Arial" w:cs="Arial"/>
              </w:rPr>
            </w:pPr>
          </w:p>
        </w:tc>
        <w:tc>
          <w:tcPr>
            <w:tcW w:w="6225" w:type="dxa"/>
          </w:tcPr>
          <w:p w:rsidR="00723747" w:rsidRPr="00723747" w:rsidRDefault="00723747" w:rsidP="00AD74C2">
            <w:pPr>
              <w:jc w:val="both"/>
              <w:rPr>
                <w:rFonts w:ascii="Arial" w:hAnsi="Arial" w:cs="Arial"/>
                <w:sz w:val="16"/>
                <w:szCs w:val="16"/>
              </w:rPr>
            </w:pPr>
            <w:r w:rsidRPr="00723747">
              <w:rPr>
                <w:rFonts w:ascii="Arial" w:hAnsi="Arial" w:cs="Arial"/>
                <w:sz w:val="16"/>
                <w:szCs w:val="16"/>
              </w:rPr>
              <w:t>the indicator is new / changed / unreliable/ no comparison is possible / for contextual purposes only.</w:t>
            </w:r>
          </w:p>
        </w:tc>
      </w:tr>
    </w:tbl>
    <w:p w:rsidR="00075452" w:rsidRDefault="00F56AEA" w:rsidP="00075452">
      <w:pPr>
        <w:ind w:left="720"/>
        <w:rPr>
          <w:rFonts w:ascii="Arial" w:hAnsi="Arial" w:cs="Arial"/>
          <w:b/>
          <w:sz w:val="28"/>
          <w:szCs w:val="28"/>
        </w:rPr>
      </w:pPr>
      <w:r w:rsidRPr="000F64BD">
        <w:rPr>
          <w:sz w:val="24"/>
          <w:szCs w:val="24"/>
        </w:rPr>
        <w:tab/>
      </w:r>
      <w:r w:rsidRPr="000F64BD">
        <w:rPr>
          <w:sz w:val="24"/>
          <w:szCs w:val="24"/>
        </w:rPr>
        <w:tab/>
      </w:r>
      <w:r w:rsidRPr="000F64BD">
        <w:rPr>
          <w:b/>
          <w:sz w:val="24"/>
          <w:szCs w:val="24"/>
        </w:rPr>
        <w:tab/>
      </w:r>
      <w:r w:rsidRPr="000F64BD">
        <w:rPr>
          <w:rFonts w:ascii="Arial" w:hAnsi="Arial" w:cs="Arial"/>
          <w:b/>
          <w:sz w:val="28"/>
          <w:szCs w:val="28"/>
        </w:rPr>
        <w:t>Appendix 1</w:t>
      </w:r>
    </w:p>
    <w:p w:rsidR="00723747" w:rsidRDefault="00723747" w:rsidP="00075452">
      <w:pPr>
        <w:ind w:left="720"/>
        <w:rPr>
          <w:rFonts w:ascii="Arial" w:hAnsi="Arial" w:cs="Arial"/>
          <w:b/>
          <w:sz w:val="28"/>
          <w:szCs w:val="28"/>
        </w:rPr>
      </w:pPr>
    </w:p>
    <w:p w:rsidR="00723747" w:rsidRDefault="00723747" w:rsidP="00075452">
      <w:pPr>
        <w:ind w:left="720"/>
        <w:rPr>
          <w:rFonts w:ascii="Arial" w:hAnsi="Arial" w:cs="Arial"/>
          <w:b/>
          <w:sz w:val="28"/>
          <w:szCs w:val="28"/>
        </w:rPr>
      </w:pPr>
    </w:p>
    <w:p w:rsidR="00723747" w:rsidRPr="000F64BD" w:rsidRDefault="00723747" w:rsidP="00075452">
      <w:pPr>
        <w:ind w:left="720"/>
        <w:rPr>
          <w:rFonts w:ascii="Arial" w:hAnsi="Arial" w:cs="Arial"/>
          <w:b/>
          <w:sz w:val="28"/>
          <w:szCs w:val="28"/>
        </w:rPr>
      </w:pPr>
      <w:r>
        <w:rPr>
          <w:sz w:val="24"/>
          <w:szCs w:val="24"/>
        </w:rPr>
        <w:t>*</w:t>
      </w:r>
      <w:r w:rsidRPr="000F64BD">
        <w:rPr>
          <w:rFonts w:ascii="Calibri" w:hAnsi="Calibri" w:cs="Calibri"/>
          <w:sz w:val="22"/>
          <w:szCs w:val="22"/>
        </w:rPr>
        <w:t>See appendix 3 for ID explanations</w:t>
      </w:r>
    </w:p>
    <w:tbl>
      <w:tblPr>
        <w:tblW w:w="9640" w:type="dxa"/>
        <w:tblInd w:w="103" w:type="dxa"/>
        <w:tblLook w:val="04A0" w:firstRow="1" w:lastRow="0" w:firstColumn="1" w:lastColumn="0" w:noHBand="0" w:noVBand="1"/>
      </w:tblPr>
      <w:tblGrid>
        <w:gridCol w:w="640"/>
        <w:gridCol w:w="5662"/>
        <w:gridCol w:w="1219"/>
        <w:gridCol w:w="1219"/>
        <w:gridCol w:w="900"/>
      </w:tblGrid>
      <w:tr w:rsidR="000F64BD" w:rsidRPr="000F64BD" w:rsidTr="000F64BD">
        <w:trPr>
          <w:trHeight w:val="552"/>
          <w:tblHeader/>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F64BD" w:rsidRPr="000F64BD" w:rsidRDefault="000F64BD" w:rsidP="000F64BD">
            <w:pPr>
              <w:rPr>
                <w:rFonts w:ascii="Calibri" w:hAnsi="Calibri" w:cs="Calibri"/>
                <w:b/>
                <w:bCs/>
                <w:sz w:val="22"/>
                <w:szCs w:val="22"/>
              </w:rPr>
            </w:pPr>
            <w:bookmarkStart w:id="1" w:name="RANGE!A1:J149"/>
            <w:r w:rsidRPr="000F64BD">
              <w:rPr>
                <w:rFonts w:ascii="Calibri" w:hAnsi="Calibri" w:cs="Calibri"/>
                <w:b/>
                <w:bCs/>
                <w:sz w:val="22"/>
                <w:szCs w:val="22"/>
              </w:rPr>
              <w:t>ID</w:t>
            </w:r>
            <w:bookmarkEnd w:id="1"/>
          </w:p>
        </w:tc>
        <w:tc>
          <w:tcPr>
            <w:tcW w:w="5940" w:type="dxa"/>
            <w:tcBorders>
              <w:top w:val="single" w:sz="4" w:space="0" w:color="auto"/>
              <w:left w:val="nil"/>
              <w:bottom w:val="single" w:sz="4" w:space="0" w:color="auto"/>
              <w:right w:val="single" w:sz="4" w:space="0" w:color="auto"/>
            </w:tcBorders>
            <w:shd w:val="clear" w:color="000000" w:fill="D9D9D9"/>
            <w:vAlign w:val="bottom"/>
            <w:hideMark/>
          </w:tcPr>
          <w:p w:rsidR="000F64BD" w:rsidRPr="000F64BD" w:rsidRDefault="000F64BD" w:rsidP="000F64BD">
            <w:pPr>
              <w:rPr>
                <w:rFonts w:ascii="Calibri" w:hAnsi="Calibri" w:cs="Calibri"/>
                <w:b/>
                <w:bCs/>
                <w:sz w:val="22"/>
                <w:szCs w:val="22"/>
              </w:rPr>
            </w:pPr>
            <w:r w:rsidRPr="000F64BD">
              <w:rPr>
                <w:rFonts w:ascii="Calibri" w:hAnsi="Calibri" w:cs="Calibri"/>
                <w:b/>
                <w:bCs/>
                <w:sz w:val="22"/>
                <w:szCs w:val="22"/>
              </w:rPr>
              <w:t>SPI</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rsidR="000F64BD" w:rsidRPr="000F64BD" w:rsidRDefault="000F64BD" w:rsidP="000F64BD">
            <w:pPr>
              <w:jc w:val="right"/>
              <w:rPr>
                <w:rFonts w:ascii="Calibri" w:hAnsi="Calibri" w:cs="Calibri"/>
                <w:b/>
                <w:bCs/>
                <w:sz w:val="22"/>
                <w:szCs w:val="22"/>
              </w:rPr>
            </w:pPr>
            <w:r w:rsidRPr="000F64BD">
              <w:rPr>
                <w:rFonts w:ascii="Calibri" w:hAnsi="Calibri" w:cs="Calibri"/>
                <w:b/>
                <w:bCs/>
                <w:sz w:val="22"/>
                <w:szCs w:val="22"/>
              </w:rPr>
              <w:t>FY 13/14</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rsidR="000F64BD" w:rsidRPr="000F64BD" w:rsidRDefault="000F64BD" w:rsidP="000F64BD">
            <w:pPr>
              <w:jc w:val="right"/>
              <w:rPr>
                <w:rFonts w:ascii="Calibri" w:hAnsi="Calibri" w:cs="Calibri"/>
                <w:b/>
                <w:bCs/>
                <w:sz w:val="22"/>
                <w:szCs w:val="22"/>
              </w:rPr>
            </w:pPr>
            <w:r w:rsidRPr="000F64BD">
              <w:rPr>
                <w:rFonts w:ascii="Calibri" w:hAnsi="Calibri" w:cs="Calibri"/>
                <w:b/>
                <w:bCs/>
                <w:sz w:val="22"/>
                <w:szCs w:val="22"/>
              </w:rPr>
              <w:t>FY 14/15</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rsidR="000F64BD" w:rsidRPr="000F64BD" w:rsidRDefault="000F64BD" w:rsidP="000F64BD">
            <w:pPr>
              <w:jc w:val="center"/>
              <w:rPr>
                <w:rFonts w:ascii="Calibri" w:hAnsi="Calibri" w:cs="Calibri"/>
                <w:b/>
                <w:bCs/>
                <w:sz w:val="22"/>
                <w:szCs w:val="22"/>
              </w:rPr>
            </w:pPr>
            <w:r w:rsidRPr="000F64BD">
              <w:rPr>
                <w:rFonts w:ascii="Calibri" w:hAnsi="Calibri" w:cs="Calibri"/>
                <w:b/>
                <w:bCs/>
                <w:sz w:val="22"/>
                <w:szCs w:val="22"/>
              </w:rPr>
              <w:t>"+/- 5%"</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parks &amp; open spaces - C&amp;L5b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refuse collection - ENV7a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street cleaning - ENV7b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satisfied with landlord service - SHR1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79.2%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79.5%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museums &amp; galleries - C&amp;L5c</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leisure facilities - C&amp;L5d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schools - CHN10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libraries - C&amp;L5a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1a/3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adults satisfied - social care or SWS - SW4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54.0%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52.0%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School Meals - gross cost per meal provided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£2.99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£2.96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museum visit - C&amp;L3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£2.32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Leisure Facilities - cost/attendance - C&amp;L1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£1.64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£1.87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primary school pupil - CHN1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£5,240.72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£4,980.89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secondary school pupil - CHN2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£7,456.94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£6,955.91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Adult Home Care costs per hour aged 65 and over SW1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£30.07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£31.18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Central ICT cost (excl</w:t>
            </w:r>
            <w:r w:rsidR="005A6B23">
              <w:rPr>
                <w:rFonts w:ascii="Calibri" w:hAnsi="Calibri" w:cs="Calibri"/>
                <w:sz w:val="22"/>
                <w:szCs w:val="22"/>
              </w:rPr>
              <w:t>udes</w:t>
            </w:r>
            <w:r w:rsidRPr="000F64BD">
              <w:rPr>
                <w:rFonts w:ascii="Calibri" w:hAnsi="Calibri" w:cs="Calibri"/>
                <w:sz w:val="22"/>
                <w:szCs w:val="22"/>
              </w:rPr>
              <w:t xml:space="preserve"> </w:t>
            </w:r>
            <w:r w:rsidR="005A6B23" w:rsidRPr="000F64BD">
              <w:rPr>
                <w:rFonts w:ascii="Calibri" w:hAnsi="Calibri" w:cs="Calibri"/>
                <w:sz w:val="22"/>
                <w:szCs w:val="22"/>
              </w:rPr>
              <w:t>curr</w:t>
            </w:r>
            <w:r w:rsidR="005A6B23">
              <w:rPr>
                <w:rFonts w:ascii="Calibri" w:hAnsi="Calibri" w:cs="Calibri"/>
                <w:sz w:val="22"/>
                <w:szCs w:val="22"/>
              </w:rPr>
              <w:t>iculum</w:t>
            </w:r>
            <w:r w:rsidRPr="000F64BD">
              <w:rPr>
                <w:rFonts w:ascii="Calibri" w:hAnsi="Calibri" w:cs="Calibri"/>
                <w:sz w:val="22"/>
                <w:szCs w:val="22"/>
              </w:rPr>
              <w:t>) % Net Rev Budget</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1.90%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2.39%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The net cost per premises for refuse collection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£74.67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£75.00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The net cost per premises for refuse disposal</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£152.32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£157.39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electricity/street lighting unit</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£36.21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£39.68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maintenance/street lighting unit</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£23.85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£24.83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parks &amp; open spaces per 1,000 population - C&amp;L4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£16,119.34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£15,474.05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Net cost of street cleaning per 1,000 population - ENV3a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£11,607.64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£11,282.71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424414" w:rsidRDefault="000F64BD" w:rsidP="000F64BD">
            <w:pPr>
              <w:rPr>
                <w:rFonts w:ascii="Calibri" w:hAnsi="Calibri" w:cs="Calibri"/>
                <w:sz w:val="22"/>
                <w:szCs w:val="22"/>
              </w:rPr>
            </w:pPr>
            <w:r w:rsidRPr="00424414">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424414" w:rsidRDefault="000F64BD" w:rsidP="000F64BD">
            <w:pPr>
              <w:rPr>
                <w:rFonts w:ascii="Calibri" w:hAnsi="Calibri" w:cs="Calibri"/>
                <w:sz w:val="22"/>
                <w:szCs w:val="22"/>
              </w:rPr>
            </w:pPr>
            <w:r w:rsidRPr="00424414">
              <w:rPr>
                <w:rFonts w:ascii="Calibri" w:hAnsi="Calibri" w:cs="Calibri"/>
                <w:sz w:val="22"/>
                <w:szCs w:val="22"/>
              </w:rPr>
              <w:t>Net cost of Waste collection per premises - ENV1a</w:t>
            </w:r>
          </w:p>
        </w:tc>
        <w:tc>
          <w:tcPr>
            <w:tcW w:w="1140" w:type="dxa"/>
            <w:tcBorders>
              <w:top w:val="nil"/>
              <w:left w:val="nil"/>
              <w:bottom w:val="single" w:sz="4" w:space="0" w:color="auto"/>
              <w:right w:val="single" w:sz="4" w:space="0" w:color="auto"/>
            </w:tcBorders>
            <w:shd w:val="clear" w:color="auto" w:fill="auto"/>
            <w:vAlign w:val="center"/>
            <w:hideMark/>
          </w:tcPr>
          <w:p w:rsidR="000F64BD" w:rsidRPr="00424414" w:rsidRDefault="000F64BD" w:rsidP="000F64BD">
            <w:pPr>
              <w:jc w:val="right"/>
              <w:rPr>
                <w:rFonts w:ascii="Calibri" w:hAnsi="Calibri" w:cs="Calibri"/>
                <w:sz w:val="22"/>
                <w:szCs w:val="22"/>
              </w:rPr>
            </w:pPr>
            <w:r w:rsidRPr="00424414">
              <w:rPr>
                <w:rFonts w:ascii="Calibri" w:hAnsi="Calibri" w:cs="Calibri"/>
                <w:sz w:val="22"/>
                <w:szCs w:val="22"/>
              </w:rPr>
              <w:t>£90.93</w:t>
            </w:r>
          </w:p>
        </w:tc>
        <w:tc>
          <w:tcPr>
            <w:tcW w:w="1140" w:type="dxa"/>
            <w:tcBorders>
              <w:top w:val="nil"/>
              <w:left w:val="nil"/>
              <w:bottom w:val="single" w:sz="4" w:space="0" w:color="auto"/>
              <w:right w:val="single" w:sz="4" w:space="0" w:color="auto"/>
            </w:tcBorders>
            <w:shd w:val="clear" w:color="auto" w:fill="auto"/>
            <w:vAlign w:val="center"/>
            <w:hideMark/>
          </w:tcPr>
          <w:p w:rsidR="000F64BD" w:rsidRPr="00424414" w:rsidRDefault="000F64BD" w:rsidP="000F64BD">
            <w:pPr>
              <w:jc w:val="right"/>
              <w:rPr>
                <w:rFonts w:ascii="Calibri" w:hAnsi="Calibri" w:cs="Calibri"/>
                <w:sz w:val="22"/>
                <w:szCs w:val="22"/>
              </w:rPr>
            </w:pPr>
            <w:r w:rsidRPr="00424414">
              <w:rPr>
                <w:rFonts w:ascii="Calibri" w:hAnsi="Calibri" w:cs="Calibri"/>
                <w:sz w:val="22"/>
                <w:szCs w:val="22"/>
              </w:rPr>
              <w:t>£97.95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424414" w:rsidRDefault="00723747" w:rsidP="000F64BD">
            <w:pPr>
              <w:jc w:val="center"/>
              <w:rPr>
                <w:rFonts w:ascii="Calibri" w:hAnsi="Calibri" w:cs="Calibri"/>
                <w:sz w:val="22"/>
                <w:szCs w:val="22"/>
              </w:rPr>
            </w:pPr>
            <w:r w:rsidRPr="00424414">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Net cost per Waste disposal per premises - ENV2a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£112.16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£102.32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Environmental Health per 1000 population - ENV5b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£17,317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£16,924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School Transport - cost per pupil transported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£1,522.80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£1,497.94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Access Team cost per km of core path</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£88.80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£78.69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archaeological consultation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£16.53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£14.42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business supported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986.54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817.77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Historic Environment Record consultation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£0.21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£0.17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Cost/Building Warrant application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£481.89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£470.31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Cost/film industry enquiry</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£795.00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£244.00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Cost/Planning Application determined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£630.49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£681.53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F8489D">
            <w:pPr>
              <w:jc w:val="both"/>
              <w:rPr>
                <w:rFonts w:ascii="Calibri" w:hAnsi="Calibri" w:cs="Calibri"/>
                <w:sz w:val="22"/>
                <w:szCs w:val="22"/>
              </w:rPr>
            </w:pPr>
            <w:r w:rsidRPr="000F64BD">
              <w:rPr>
                <w:rFonts w:ascii="Calibri" w:hAnsi="Calibri" w:cs="Calibri"/>
                <w:sz w:val="22"/>
                <w:szCs w:val="22"/>
              </w:rPr>
              <w:t>Cost of Trading Standards per 1000 population - ENV5a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£3,790.51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£3,822.39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Rangers cost per participant for guided walks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£7.39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£13.84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Council Tax - Collection Costs - Corp4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£14.22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£11.83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Council Tax - Annual % received - Corp7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95.5%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95.5%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Creditors - unit cost/creditor invoice issued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Accounting % Net Rev Budget + HRA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0.30%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0.35%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NDR collected by year end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97.61%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97.18%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sundry debtors/debtors account issued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£4.04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£3.84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5A6B23">
            <w:pPr>
              <w:rPr>
                <w:rFonts w:ascii="Calibri" w:hAnsi="Calibri" w:cs="Calibri"/>
                <w:sz w:val="22"/>
                <w:szCs w:val="22"/>
              </w:rPr>
            </w:pPr>
            <w:r w:rsidRPr="000F64BD">
              <w:rPr>
                <w:rFonts w:ascii="Calibri" w:hAnsi="Calibri" w:cs="Calibri"/>
                <w:sz w:val="22"/>
                <w:szCs w:val="22"/>
              </w:rPr>
              <w:t xml:space="preserve">% income sundry debtors collected during </w:t>
            </w:r>
            <w:r w:rsidR="005A6B23">
              <w:rPr>
                <w:rFonts w:ascii="Calibri" w:hAnsi="Calibri" w:cs="Calibri"/>
                <w:sz w:val="22"/>
                <w:szCs w:val="22"/>
              </w:rPr>
              <w:t>the year</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86.60%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94.21%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Central Support Services as a proportion of running costs - Corp1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6.97%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7.56%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lastRenderedPageBreak/>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Overall Council Tax collection level - 5 years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96.6%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Democratic core cost per 1,000 population - Corp2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£44,176.86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£42,432.43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NDR collection/chargeable property</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£24.60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£20.68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pre-school education registration - CHN3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£2,259.67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£2,864.66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per visit to Libraries - C&amp;L2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maintenance per km of roads - ENV4a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£2,839.43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£2,696.97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Direct payments spend on 18+ adults - SW2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Gross cost per bed/w</w:t>
            </w:r>
            <w:r w:rsidR="005A6B23">
              <w:rPr>
                <w:rFonts w:ascii="Calibri" w:hAnsi="Calibri" w:cs="Calibri"/>
                <w:sz w:val="22"/>
                <w:szCs w:val="22"/>
              </w:rPr>
              <w:t>ee</w:t>
            </w:r>
            <w:r w:rsidRPr="000F64BD">
              <w:rPr>
                <w:rFonts w:ascii="Calibri" w:hAnsi="Calibri" w:cs="Calibri"/>
                <w:sz w:val="22"/>
                <w:szCs w:val="22"/>
              </w:rPr>
              <w:t>k Children’s Res units - CHN8a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£2,846.58</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900" w:type="dxa"/>
            <w:tcBorders>
              <w:top w:val="single" w:sz="4" w:space="0" w:color="auto"/>
              <w:left w:val="nil"/>
              <w:bottom w:val="single" w:sz="4" w:space="0" w:color="auto"/>
              <w:right w:val="single" w:sz="4" w:space="0" w:color="auto"/>
            </w:tcBorders>
            <w:shd w:val="pct15" w:color="auto" w:fill="auto"/>
            <w:noWrap/>
            <w:vAlign w:val="bottom"/>
            <w:hideMark/>
          </w:tcPr>
          <w:p w:rsidR="000F64BD" w:rsidRPr="000F64BD" w:rsidRDefault="000F64BD" w:rsidP="000F64BD">
            <w:pPr>
              <w:jc w:val="center"/>
              <w:rPr>
                <w:rFonts w:ascii="Calibri" w:hAnsi="Calibri" w:cs="Calibri"/>
                <w:sz w:val="22"/>
                <w:szCs w:val="22"/>
              </w:rPr>
            </w:pP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Cost of LAC per child per week - community - CHN8b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£216.03</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900" w:type="dxa"/>
            <w:tcBorders>
              <w:top w:val="single" w:sz="4" w:space="0" w:color="auto"/>
              <w:left w:val="nil"/>
              <w:bottom w:val="single" w:sz="4" w:space="0" w:color="auto"/>
              <w:right w:val="single" w:sz="4" w:space="0" w:color="auto"/>
            </w:tcBorders>
            <w:shd w:val="pct15" w:color="auto" w:fill="auto"/>
            <w:noWrap/>
            <w:vAlign w:val="bottom"/>
            <w:hideMark/>
          </w:tcPr>
          <w:p w:rsidR="000F64BD" w:rsidRPr="000F64BD" w:rsidRDefault="000F64BD" w:rsidP="000F64BD">
            <w:pPr>
              <w:jc w:val="center"/>
              <w:rPr>
                <w:rFonts w:ascii="Calibri" w:hAnsi="Calibri" w:cs="Calibri"/>
                <w:sz w:val="22"/>
                <w:szCs w:val="22"/>
              </w:rPr>
            </w:pP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Personnel - HR cost per employee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£237.87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£231.16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Personnel - ratio of employees to HR staff</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185.60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201.20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Payroll - cost/payslip produced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£3.73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£3.25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Pensions - cost per member</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£29.52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£27.65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Sickness Teachers - working days lost Corp6a</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5A6B23">
            <w:pPr>
              <w:rPr>
                <w:rFonts w:ascii="Calibri" w:hAnsi="Calibri" w:cs="Calibri"/>
                <w:sz w:val="22"/>
                <w:szCs w:val="22"/>
              </w:rPr>
            </w:pPr>
            <w:r w:rsidRPr="000F64BD">
              <w:rPr>
                <w:rFonts w:ascii="Calibri" w:hAnsi="Calibri" w:cs="Calibri"/>
                <w:sz w:val="22"/>
                <w:szCs w:val="22"/>
              </w:rPr>
              <w:t>Sickness THC - Non Teachers - Av</w:t>
            </w:r>
            <w:r w:rsidR="005A6B23">
              <w:rPr>
                <w:rFonts w:ascii="Calibri" w:hAnsi="Calibri" w:cs="Calibri"/>
                <w:sz w:val="22"/>
                <w:szCs w:val="22"/>
              </w:rPr>
              <w:t>erage</w:t>
            </w:r>
            <w:r w:rsidRPr="000F64BD">
              <w:rPr>
                <w:rFonts w:ascii="Calibri" w:hAnsi="Calibri" w:cs="Calibri"/>
                <w:sz w:val="22"/>
                <w:szCs w:val="22"/>
              </w:rPr>
              <w:t xml:space="preserve"> working days lost Corp6b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9.16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Sickness Days Lost per Employee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7.86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8.38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1d/3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Asset Management - Condition - CAST2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58.0%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79.3%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1d/3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Asset Management - Suitability - CAST1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58.1%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64.3%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5A6B23">
            <w:pPr>
              <w:rPr>
                <w:rFonts w:ascii="Calibri" w:hAnsi="Calibri" w:cs="Calibri"/>
                <w:sz w:val="22"/>
                <w:szCs w:val="22"/>
              </w:rPr>
            </w:pPr>
            <w:r w:rsidRPr="000F64BD">
              <w:rPr>
                <w:rFonts w:ascii="Calibri" w:hAnsi="Calibri" w:cs="Calibri"/>
                <w:sz w:val="22"/>
                <w:szCs w:val="22"/>
              </w:rPr>
              <w:t>Cost Procurement Sect</w:t>
            </w:r>
            <w:r w:rsidR="005A6B23">
              <w:rPr>
                <w:rFonts w:ascii="Calibri" w:hAnsi="Calibri" w:cs="Calibri"/>
                <w:sz w:val="22"/>
                <w:szCs w:val="22"/>
              </w:rPr>
              <w:t>ion</w:t>
            </w:r>
            <w:r w:rsidRPr="000F64BD">
              <w:rPr>
                <w:rFonts w:ascii="Calibri" w:hAnsi="Calibri" w:cs="Calibri"/>
                <w:sz w:val="22"/>
                <w:szCs w:val="22"/>
              </w:rPr>
              <w:t xml:space="preserve"> % Net Rev Budget</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0.08%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0.09%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1e/3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Invoices Payment within 30 days Corp8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93.3%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94.3%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1f</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Council carbon emissions tonnes CO2e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63,401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63,841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1g/3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Women managers in top 5% of earners - Corp3b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46.7%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48.2%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1g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Women managers in top 2% of earners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35.8%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40.2%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2a</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Benefits Admin costs - Gross cost per Case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£56.79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£52.03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65+ with intensive needs receiving care at home - SW3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2b/3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Net Residential Costs per week Older Adults 65+ SW5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£406.94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£406.39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Gross Residential Costs per week Older Adults 65+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£409.21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£443.13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2b</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Gross Residential Costs per week Adults 18-64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£716.87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£789.07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CJS 04 100% of sex offenders subject to receive review within timescales - Annual</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90.9%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100.0%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CJS 02 % offenders on new Community Payback Orders seen within 5 working days - Annual</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64.6%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76.0%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5A6B23" w:rsidP="000F64BD">
            <w:pPr>
              <w:rPr>
                <w:rFonts w:ascii="Calibri" w:hAnsi="Calibri" w:cs="Calibri"/>
                <w:sz w:val="22"/>
                <w:szCs w:val="22"/>
              </w:rPr>
            </w:pPr>
            <w:r>
              <w:rPr>
                <w:rFonts w:ascii="Calibri" w:hAnsi="Calibri" w:cs="Calibri"/>
                <w:sz w:val="22"/>
                <w:szCs w:val="22"/>
              </w:rPr>
              <w:t>CJS 03 Average</w:t>
            </w:r>
            <w:r w:rsidR="000F64BD" w:rsidRPr="000F64BD">
              <w:rPr>
                <w:rFonts w:ascii="Calibri" w:hAnsi="Calibri" w:cs="Calibri"/>
                <w:sz w:val="22"/>
                <w:szCs w:val="22"/>
              </w:rPr>
              <w:t xml:space="preserve"> hours per week taken to complete a CPO</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2c</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CJS 01 % CJSW reports submitted to court by due date - annual</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96.6%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94.3%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2d</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Sport and Leisure Management - Attendances for Pools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2,178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2,184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2d</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Museums - no. visits/usage virtual/in person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2,419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2,954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2d</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Museums - no. visits/usage in person</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1,339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1,495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2d</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Sport &amp; Leisure Management - Attendances other facilities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8,447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8,567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2d</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Library Usage - no. visits per 1,000 pop.</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9,973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9,925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4835FD" w:rsidP="000F64BD">
            <w:pPr>
              <w:rPr>
                <w:rFonts w:ascii="Calibri" w:hAnsi="Calibri" w:cs="Calibri"/>
                <w:sz w:val="22"/>
                <w:szCs w:val="22"/>
              </w:rPr>
            </w:pPr>
            <w:r>
              <w:rPr>
                <w:rFonts w:ascii="Calibri" w:hAnsi="Calibri" w:cs="Calibri"/>
                <w:sz w:val="22"/>
                <w:szCs w:val="22"/>
              </w:rPr>
              <w:t>Avg. time taken (days</w:t>
            </w:r>
            <w:r w:rsidR="000F64BD" w:rsidRPr="000F64BD">
              <w:rPr>
                <w:rFonts w:ascii="Calibri" w:hAnsi="Calibri" w:cs="Calibri"/>
                <w:sz w:val="22"/>
                <w:szCs w:val="22"/>
              </w:rPr>
              <w:t>) to deal with TPO applications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Number of businesses supported by Council ED and BG</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806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788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Percentage of Unemployed People Assisted into work ECON1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7.40%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6.56%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Determination of Local Apps - Ave no of Weeks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Determination of Major Apps - Ave no of Weeks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33.6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25.6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2e</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Businesses supported to Start Up through Business Gateway</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250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lastRenderedPageBreak/>
              <w:t>2f/3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Pupils entering positive destinations - CHN11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92.7%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93.7%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2f/3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SCQF Level 5 attainment by all children - CHN4</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900" w:type="dxa"/>
            <w:tcBorders>
              <w:top w:val="single" w:sz="4" w:space="0" w:color="auto"/>
              <w:left w:val="nil"/>
              <w:bottom w:val="single" w:sz="4" w:space="0" w:color="auto"/>
              <w:right w:val="single" w:sz="4" w:space="0" w:color="auto"/>
            </w:tcBorders>
            <w:shd w:val="pct15"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 </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2f/3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SCQF Level 6 attainment by all children - CHN5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27.7%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28.7%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D24D70">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2f/3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SCQF Level 5 attainment by children from deprived backgrounds - CHN6</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900" w:type="dxa"/>
            <w:tcBorders>
              <w:top w:val="single" w:sz="4" w:space="0" w:color="auto"/>
              <w:left w:val="nil"/>
              <w:bottom w:val="single" w:sz="4" w:space="0" w:color="auto"/>
              <w:right w:val="single" w:sz="4" w:space="0" w:color="auto"/>
            </w:tcBorders>
            <w:shd w:val="pct15"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 </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2f/3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SCQF Level 6 attainment by children from deprived backgrounds - CHN7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12.8%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020. No. of offence based referrals to SCRA reduces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417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343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086.Time taken (m</w:t>
            </w:r>
            <w:r w:rsidR="005A6B23">
              <w:rPr>
                <w:rFonts w:ascii="Calibri" w:hAnsi="Calibri" w:cs="Calibri"/>
                <w:sz w:val="22"/>
                <w:szCs w:val="22"/>
              </w:rPr>
              <w:t>on</w:t>
            </w:r>
            <w:r w:rsidRPr="000F64BD">
              <w:rPr>
                <w:rFonts w:ascii="Calibri" w:hAnsi="Calibri" w:cs="Calibri"/>
                <w:sz w:val="22"/>
                <w:szCs w:val="22"/>
              </w:rPr>
              <w:t>ths) between a child being accommodated &amp; permanency decision decreases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15.0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xml:space="preserve">% LAC kinship care </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18.3%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D24D70">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LAC in the community - CHN9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81.0%</w:t>
            </w:r>
          </w:p>
        </w:tc>
        <w:tc>
          <w:tcPr>
            <w:tcW w:w="1140" w:type="dxa"/>
            <w:tcBorders>
              <w:top w:val="single" w:sz="4" w:space="0" w:color="auto"/>
              <w:left w:val="nil"/>
              <w:bottom w:val="single" w:sz="4" w:space="0" w:color="auto"/>
              <w:right w:val="single" w:sz="4" w:space="0" w:color="auto"/>
            </w:tcBorders>
            <w:shd w:val="pct15"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900" w:type="dxa"/>
            <w:tcBorders>
              <w:top w:val="single" w:sz="4" w:space="0" w:color="auto"/>
              <w:left w:val="nil"/>
              <w:bottom w:val="single" w:sz="4" w:space="0" w:color="auto"/>
              <w:right w:val="single" w:sz="4" w:space="0" w:color="auto"/>
            </w:tcBorders>
            <w:shd w:val="pct15"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 </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of accommodated LAC</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of persistent young offenders 5+ referrals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2g</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children on child protection register previously registered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3.67%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Avg. time to complete emergency repairs (hours) SHR11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xml:space="preserve">Avg. time to complete </w:t>
            </w:r>
            <w:r w:rsidR="00627B34" w:rsidRPr="000F64BD">
              <w:rPr>
                <w:rFonts w:ascii="Calibri" w:hAnsi="Calibri" w:cs="Calibri"/>
                <w:sz w:val="22"/>
                <w:szCs w:val="22"/>
              </w:rPr>
              <w:t>non-emergency</w:t>
            </w:r>
            <w:r w:rsidRPr="000F64BD">
              <w:rPr>
                <w:rFonts w:ascii="Calibri" w:hAnsi="Calibri" w:cs="Calibri"/>
                <w:sz w:val="22"/>
                <w:szCs w:val="22"/>
              </w:rPr>
              <w:t xml:space="preserve"> repairs (days) SHR12/HSN4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Reactive repairs carried out first time SHR13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90.6%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93.8%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Repairs appointments kept SHR14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92.2%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92.6%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Tenancy offers refused SHR18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35.8%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28.9%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new tenancies sustained for more than a year SHR20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86.4%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lettable houses becoming vacant SHR21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11.43%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11.22%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court actions which resulted in eviction SHR24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9.47%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Rent collected as % of rent due SHR30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100.9%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98.8%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Gross rent arrears as % of rent due - HSN1/SHR31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rent loss through voids - HSN2/SHR34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approved applications for medical adap</w:t>
            </w:r>
            <w:r w:rsidR="005A6B23">
              <w:rPr>
                <w:rFonts w:ascii="Calibri" w:hAnsi="Calibri" w:cs="Calibri"/>
                <w:sz w:val="22"/>
                <w:szCs w:val="22"/>
              </w:rPr>
              <w:t>tations</w:t>
            </w:r>
            <w:r w:rsidRPr="000F64BD">
              <w:rPr>
                <w:rFonts w:ascii="Calibri" w:hAnsi="Calibri" w:cs="Calibri"/>
                <w:sz w:val="22"/>
                <w:szCs w:val="22"/>
              </w:rPr>
              <w:t xml:space="preserve"> SHR22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68.6%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63.5%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Avg. days to complete medical adap</w:t>
            </w:r>
            <w:r w:rsidR="005A6B23">
              <w:rPr>
                <w:rFonts w:ascii="Calibri" w:hAnsi="Calibri" w:cs="Calibri"/>
                <w:sz w:val="22"/>
                <w:szCs w:val="22"/>
              </w:rPr>
              <w:t>tations</w:t>
            </w:r>
            <w:r w:rsidRPr="000F64BD">
              <w:rPr>
                <w:rFonts w:ascii="Calibri" w:hAnsi="Calibri" w:cs="Calibri"/>
                <w:sz w:val="22"/>
                <w:szCs w:val="22"/>
              </w:rPr>
              <w:t xml:space="preserve"> applications SHR23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households requiring temp/eme</w:t>
            </w:r>
            <w:r w:rsidR="005A6B23">
              <w:rPr>
                <w:rFonts w:ascii="Calibri" w:hAnsi="Calibri" w:cs="Calibri"/>
                <w:sz w:val="22"/>
                <w:szCs w:val="22"/>
              </w:rPr>
              <w:t>rgency</w:t>
            </w:r>
            <w:r w:rsidRPr="000F64BD">
              <w:rPr>
                <w:rFonts w:ascii="Calibri" w:hAnsi="Calibri" w:cs="Calibri"/>
                <w:sz w:val="22"/>
                <w:szCs w:val="22"/>
              </w:rPr>
              <w:t xml:space="preserve"> accomm</w:t>
            </w:r>
            <w:r w:rsidR="005A6B23">
              <w:rPr>
                <w:rFonts w:ascii="Calibri" w:hAnsi="Calibri" w:cs="Calibri"/>
                <w:sz w:val="22"/>
                <w:szCs w:val="22"/>
              </w:rPr>
              <w:t>odation</w:t>
            </w:r>
            <w:r w:rsidRPr="000F64BD">
              <w:rPr>
                <w:rFonts w:ascii="Calibri" w:hAnsi="Calibri" w:cs="Calibri"/>
                <w:sz w:val="22"/>
                <w:szCs w:val="22"/>
              </w:rPr>
              <w:t xml:space="preserve"> who receive offer SHR26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100.0%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98.7%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5A6B23">
            <w:pPr>
              <w:rPr>
                <w:rFonts w:ascii="Calibri" w:hAnsi="Calibri" w:cs="Calibri"/>
                <w:sz w:val="22"/>
                <w:szCs w:val="22"/>
              </w:rPr>
            </w:pPr>
            <w:r w:rsidRPr="000F64BD">
              <w:rPr>
                <w:rFonts w:ascii="Calibri" w:hAnsi="Calibri" w:cs="Calibri"/>
                <w:sz w:val="22"/>
                <w:szCs w:val="22"/>
              </w:rPr>
              <w:t>Av</w:t>
            </w:r>
            <w:r w:rsidR="005A6B23">
              <w:rPr>
                <w:rFonts w:ascii="Calibri" w:hAnsi="Calibri" w:cs="Calibri"/>
                <w:sz w:val="22"/>
                <w:szCs w:val="22"/>
              </w:rPr>
              <w:t>erage</w:t>
            </w:r>
            <w:r w:rsidRPr="000F64BD">
              <w:rPr>
                <w:rFonts w:ascii="Calibri" w:hAnsi="Calibri" w:cs="Calibri"/>
                <w:sz w:val="22"/>
                <w:szCs w:val="22"/>
              </w:rPr>
              <w:t xml:space="preserve"> time in </w:t>
            </w:r>
            <w:r w:rsidR="005A6B23" w:rsidRPr="000F64BD">
              <w:rPr>
                <w:rFonts w:ascii="Calibri" w:hAnsi="Calibri" w:cs="Calibri"/>
                <w:sz w:val="22"/>
                <w:szCs w:val="22"/>
              </w:rPr>
              <w:t>temp/eme</w:t>
            </w:r>
            <w:r w:rsidR="005A6B23">
              <w:rPr>
                <w:rFonts w:ascii="Calibri" w:hAnsi="Calibri" w:cs="Calibri"/>
                <w:sz w:val="22"/>
                <w:szCs w:val="22"/>
              </w:rPr>
              <w:t>rgency</w:t>
            </w:r>
            <w:r w:rsidR="005A6B23" w:rsidRPr="000F64BD">
              <w:rPr>
                <w:rFonts w:ascii="Calibri" w:hAnsi="Calibri" w:cs="Calibri"/>
                <w:sz w:val="22"/>
                <w:szCs w:val="22"/>
              </w:rPr>
              <w:t xml:space="preserve"> accomm</w:t>
            </w:r>
            <w:r w:rsidR="005A6B23">
              <w:rPr>
                <w:rFonts w:ascii="Calibri" w:hAnsi="Calibri" w:cs="Calibri"/>
                <w:sz w:val="22"/>
                <w:szCs w:val="22"/>
              </w:rPr>
              <w:t>odation</w:t>
            </w:r>
            <w:r w:rsidR="005A6B23" w:rsidRPr="000F64BD">
              <w:rPr>
                <w:rFonts w:ascii="Calibri" w:hAnsi="Calibri" w:cs="Calibri"/>
                <w:sz w:val="22"/>
                <w:szCs w:val="22"/>
              </w:rPr>
              <w:t xml:space="preserve"> </w:t>
            </w:r>
            <w:r w:rsidRPr="000F64BD">
              <w:rPr>
                <w:rFonts w:ascii="Calibri" w:hAnsi="Calibri" w:cs="Calibri"/>
                <w:sz w:val="22"/>
                <w:szCs w:val="22"/>
              </w:rPr>
              <w:t xml:space="preserve">(weeks) </w:t>
            </w:r>
            <w:r w:rsidR="005A6B23">
              <w:rPr>
                <w:rFonts w:ascii="Calibri" w:hAnsi="Calibri" w:cs="Calibri"/>
                <w:sz w:val="22"/>
                <w:szCs w:val="22"/>
              </w:rPr>
              <w:t>S</w:t>
            </w:r>
            <w:r w:rsidRPr="000F64BD">
              <w:rPr>
                <w:rFonts w:ascii="Calibri" w:hAnsi="Calibri" w:cs="Calibri"/>
                <w:sz w:val="22"/>
                <w:szCs w:val="22"/>
              </w:rPr>
              <w:t>HR25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5A6B23">
            <w:pPr>
              <w:rPr>
                <w:rFonts w:ascii="Calibri" w:hAnsi="Calibri" w:cs="Calibri"/>
                <w:sz w:val="22"/>
                <w:szCs w:val="22"/>
              </w:rPr>
            </w:pPr>
            <w:r w:rsidRPr="000F64BD">
              <w:rPr>
                <w:rFonts w:ascii="Calibri" w:hAnsi="Calibri" w:cs="Calibri"/>
                <w:sz w:val="22"/>
                <w:szCs w:val="22"/>
              </w:rPr>
              <w:t xml:space="preserve">% </w:t>
            </w:r>
            <w:r w:rsidR="005A6B23" w:rsidRPr="000F64BD">
              <w:rPr>
                <w:rFonts w:ascii="Calibri" w:hAnsi="Calibri" w:cs="Calibri"/>
                <w:sz w:val="22"/>
                <w:szCs w:val="22"/>
              </w:rPr>
              <w:t>temp/eme</w:t>
            </w:r>
            <w:r w:rsidR="005A6B23">
              <w:rPr>
                <w:rFonts w:ascii="Calibri" w:hAnsi="Calibri" w:cs="Calibri"/>
                <w:sz w:val="22"/>
                <w:szCs w:val="22"/>
              </w:rPr>
              <w:t>rgency</w:t>
            </w:r>
            <w:r w:rsidR="005A6B23" w:rsidRPr="000F64BD">
              <w:rPr>
                <w:rFonts w:ascii="Calibri" w:hAnsi="Calibri" w:cs="Calibri"/>
                <w:sz w:val="22"/>
                <w:szCs w:val="22"/>
              </w:rPr>
              <w:t xml:space="preserve"> accomm</w:t>
            </w:r>
            <w:r w:rsidR="005A6B23">
              <w:rPr>
                <w:rFonts w:ascii="Calibri" w:hAnsi="Calibri" w:cs="Calibri"/>
                <w:sz w:val="22"/>
                <w:szCs w:val="22"/>
              </w:rPr>
              <w:t>odation</w:t>
            </w:r>
            <w:r w:rsidR="005A6B23" w:rsidRPr="000F64BD">
              <w:rPr>
                <w:rFonts w:ascii="Calibri" w:hAnsi="Calibri" w:cs="Calibri"/>
                <w:sz w:val="22"/>
                <w:szCs w:val="22"/>
              </w:rPr>
              <w:t xml:space="preserve"> </w:t>
            </w:r>
            <w:r w:rsidRPr="000F64BD">
              <w:rPr>
                <w:rFonts w:ascii="Calibri" w:hAnsi="Calibri" w:cs="Calibri"/>
                <w:sz w:val="22"/>
                <w:szCs w:val="22"/>
              </w:rPr>
              <w:t>offers refused SHR27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18.25%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Complaints responded to in full for year within SPSO SHR5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56.3%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Properties requiring gas safety record SHR15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99.5%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100.0%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ASB cases reported and resolved SHR19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76.3%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1E5012"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Gypsies/Travellers - Avg. weekly rent per pitch SHR36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£71.85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£72.31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who feel landlord keeps them informed - SHR3</w:t>
            </w:r>
          </w:p>
        </w:tc>
        <w:tc>
          <w:tcPr>
            <w:tcW w:w="1140" w:type="dxa"/>
            <w:tcBorders>
              <w:top w:val="nil"/>
              <w:left w:val="nil"/>
              <w:bottom w:val="single" w:sz="4" w:space="0" w:color="auto"/>
              <w:right w:val="single" w:sz="4" w:space="0" w:color="auto"/>
            </w:tcBorders>
            <w:shd w:val="clear" w:color="000000" w:fill="BFBFBF"/>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75.0%</w:t>
            </w:r>
          </w:p>
        </w:tc>
        <w:tc>
          <w:tcPr>
            <w:tcW w:w="900" w:type="dxa"/>
            <w:tcBorders>
              <w:top w:val="nil"/>
              <w:left w:val="nil"/>
              <w:bottom w:val="single" w:sz="4" w:space="0" w:color="auto"/>
              <w:right w:val="single" w:sz="4" w:space="0" w:color="auto"/>
            </w:tcBorders>
            <w:shd w:val="clear" w:color="000000" w:fill="BFBFBF"/>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 </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satisfied with opportunities to participate in decision making - SHR6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55.3%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satisfied with quality of their home - SHR10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70.9%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78.8%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satisfied with repairs &amp; maintenance service - SHR16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76.6%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84.6%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satisfied with management of neighbourhood - SHR17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tenants who feel rent represents good value for money - SHR29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67.1%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68.8%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Repairs completed at first visit</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lastRenderedPageBreak/>
              <w:t>2h/3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properties at or above NHER or SAP ratings HSN5/SHR8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75.7%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86.7%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SHQS - % total meeting SHQS - HSN3/SHR7</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70.2%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85.2%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Avg. time taken to re-let (days) SHR35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37.6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2h</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Gross rent arrears as % of rent due SHR31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Domestic Noise Complaints - requiring attendance on site the avg. time (hours)- Corp5b2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119.0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146.0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Domestic Noise Complaints - without site attendance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51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Domestic Noise Complaints - dealt with under AB Part V</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No. Domestic Noise Complaints - requiring attendance on site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62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Trading Standards - consumer complaints- 14 days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71.9%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71.9%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Trading Standards - business advice - 14 days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87.3%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94.0%</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2i/3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Street Cleanliness Score - ENV3b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Road Network - U Class ENV4e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37.2%</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38.8%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traffic light failures completed in 3 hours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97.88%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92.74%</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sidRPr="000F64BD">
              <w:rPr>
                <w:rFonts w:ascii="Calibri" w:hAnsi="Calibri" w:cs="Calibri"/>
                <w:sz w:val="22"/>
                <w:szCs w:val="22"/>
              </w:rPr>
              <w:t>X</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street light failures completed in 7 days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97.21%</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97.27%</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of street lighting columns 30+ years old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42.15%</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42.89%</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Road network to be considered for maintenance</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35.6%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36.2%</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Road network - A Class - ENV4b</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25.3%</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25.3%</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Road network - B Class - ENV4c</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35.9%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35.5%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2j/3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Road network - C Class - ENV4d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41.9%</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41.8%</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2k</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Household Waste - Collected Tonnes</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126,474</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130,476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2k</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Household Waste - Composted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12.8%</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13.5%</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0F64BD" w:rsidP="000F64BD">
            <w:pPr>
              <w:jc w:val="center"/>
              <w:rPr>
                <w:rFonts w:ascii="Calibri" w:hAnsi="Calibri" w:cs="Calibri"/>
                <w:sz w:val="22"/>
                <w:szCs w:val="22"/>
              </w:rPr>
            </w:pPr>
            <w:r w:rsidRPr="000F64BD">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2k</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Household Waste - Recycled</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32.6%</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32.6%</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r w:rsidR="000F64BD" w:rsidRPr="000F64BD" w:rsidTr="000F64BD">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2k/3</w:t>
            </w:r>
          </w:p>
        </w:tc>
        <w:tc>
          <w:tcPr>
            <w:tcW w:w="5940" w:type="dxa"/>
            <w:tcBorders>
              <w:top w:val="nil"/>
              <w:left w:val="nil"/>
              <w:bottom w:val="single" w:sz="4" w:space="0" w:color="auto"/>
              <w:right w:val="single" w:sz="4" w:space="0" w:color="auto"/>
            </w:tcBorders>
            <w:shd w:val="clear" w:color="auto" w:fill="auto"/>
            <w:vAlign w:val="bottom"/>
            <w:hideMark/>
          </w:tcPr>
          <w:p w:rsidR="000F64BD" w:rsidRPr="000F64BD" w:rsidRDefault="000F64BD" w:rsidP="000F64BD">
            <w:pPr>
              <w:rPr>
                <w:rFonts w:ascii="Calibri" w:hAnsi="Calibri" w:cs="Calibri"/>
                <w:sz w:val="22"/>
                <w:szCs w:val="22"/>
              </w:rPr>
            </w:pPr>
            <w:r w:rsidRPr="000F64BD">
              <w:rPr>
                <w:rFonts w:ascii="Calibri" w:hAnsi="Calibri" w:cs="Calibri"/>
                <w:sz w:val="22"/>
                <w:szCs w:val="22"/>
              </w:rPr>
              <w:t xml:space="preserve">% Household waste recycled and composted CY - ENV6 </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45.0%</w:t>
            </w:r>
          </w:p>
        </w:tc>
        <w:tc>
          <w:tcPr>
            <w:tcW w:w="1140" w:type="dxa"/>
            <w:tcBorders>
              <w:top w:val="nil"/>
              <w:left w:val="nil"/>
              <w:bottom w:val="single" w:sz="4" w:space="0" w:color="auto"/>
              <w:right w:val="single" w:sz="4" w:space="0" w:color="auto"/>
            </w:tcBorders>
            <w:shd w:val="clear" w:color="auto" w:fill="auto"/>
            <w:vAlign w:val="center"/>
            <w:hideMark/>
          </w:tcPr>
          <w:p w:rsidR="000F64BD" w:rsidRPr="000F64BD" w:rsidRDefault="000F64BD" w:rsidP="000F64BD">
            <w:pPr>
              <w:jc w:val="right"/>
              <w:rPr>
                <w:rFonts w:ascii="Calibri" w:hAnsi="Calibri" w:cs="Calibri"/>
                <w:sz w:val="22"/>
                <w:szCs w:val="22"/>
              </w:rPr>
            </w:pPr>
            <w:r w:rsidRPr="000F64BD">
              <w:rPr>
                <w:rFonts w:ascii="Calibri" w:hAnsi="Calibri" w:cs="Calibri"/>
                <w:sz w:val="22"/>
                <w:szCs w:val="22"/>
              </w:rPr>
              <w:t>46.1%</w:t>
            </w:r>
          </w:p>
        </w:tc>
        <w:tc>
          <w:tcPr>
            <w:tcW w:w="900" w:type="dxa"/>
            <w:tcBorders>
              <w:top w:val="nil"/>
              <w:left w:val="nil"/>
              <w:bottom w:val="single" w:sz="4" w:space="0" w:color="auto"/>
              <w:right w:val="single" w:sz="4" w:space="0" w:color="auto"/>
            </w:tcBorders>
            <w:shd w:val="clear" w:color="auto" w:fill="auto"/>
            <w:noWrap/>
            <w:vAlign w:val="bottom"/>
            <w:hideMark/>
          </w:tcPr>
          <w:p w:rsidR="000F64BD" w:rsidRPr="000F64BD" w:rsidRDefault="00723747" w:rsidP="000F64BD">
            <w:pPr>
              <w:jc w:val="center"/>
              <w:rPr>
                <w:rFonts w:ascii="Calibri" w:hAnsi="Calibri" w:cs="Calibri"/>
                <w:sz w:val="22"/>
                <w:szCs w:val="22"/>
              </w:rPr>
            </w:pPr>
            <w:r>
              <w:rPr>
                <w:rFonts w:ascii="Calibri" w:hAnsi="Calibri" w:cs="Calibri"/>
                <w:sz w:val="22"/>
                <w:szCs w:val="22"/>
              </w:rPr>
              <w:t>=</w:t>
            </w:r>
          </w:p>
        </w:tc>
      </w:tr>
    </w:tbl>
    <w:p w:rsidR="00075452" w:rsidRPr="000F64BD" w:rsidRDefault="00075452">
      <w:pPr>
        <w:rPr>
          <w:rFonts w:ascii="Arial" w:hAnsi="Arial" w:cs="Arial"/>
          <w:b/>
          <w:sz w:val="28"/>
          <w:szCs w:val="28"/>
        </w:rPr>
      </w:pPr>
      <w:r w:rsidRPr="000F64BD">
        <w:rPr>
          <w:rFonts w:ascii="Arial" w:hAnsi="Arial" w:cs="Arial"/>
          <w:b/>
          <w:sz w:val="28"/>
          <w:szCs w:val="28"/>
        </w:rPr>
        <w:br w:type="page"/>
      </w:r>
    </w:p>
    <w:p w:rsidR="00075452" w:rsidRPr="000F64BD" w:rsidRDefault="00075452" w:rsidP="00075452">
      <w:pPr>
        <w:ind w:left="720"/>
        <w:rPr>
          <w:rFonts w:ascii="Arial" w:hAnsi="Arial" w:cs="Arial"/>
          <w:b/>
          <w:sz w:val="28"/>
          <w:szCs w:val="28"/>
        </w:rPr>
      </w:pPr>
    </w:p>
    <w:p w:rsidR="00CD40B3" w:rsidRPr="000F64BD" w:rsidRDefault="00CD40B3" w:rsidP="005344B2">
      <w:pPr>
        <w:ind w:left="7200" w:firstLine="720"/>
        <w:rPr>
          <w:rFonts w:ascii="Arial" w:hAnsi="Arial" w:cs="Arial"/>
          <w:b/>
          <w:sz w:val="28"/>
          <w:szCs w:val="28"/>
        </w:rPr>
      </w:pPr>
      <w:r w:rsidRPr="000F64BD">
        <w:rPr>
          <w:rFonts w:ascii="Arial" w:hAnsi="Arial" w:cs="Arial"/>
          <w:b/>
          <w:sz w:val="28"/>
          <w:szCs w:val="28"/>
        </w:rPr>
        <w:t>Appendix 2</w:t>
      </w:r>
    </w:p>
    <w:p w:rsidR="00075452" w:rsidRPr="000F64BD" w:rsidRDefault="005344B2" w:rsidP="00075452">
      <w:pPr>
        <w:rPr>
          <w:rFonts w:ascii="Arial" w:hAnsi="Arial" w:cs="Arial"/>
        </w:rPr>
      </w:pPr>
      <w:r w:rsidRPr="000F64BD">
        <w:rPr>
          <w:rFonts w:ascii="Arial" w:hAnsi="Arial" w:cs="Arial"/>
        </w:rPr>
        <w:t>*National Ranks:  1-8 Top Quartile and 25-32 Bottom Quartile</w:t>
      </w:r>
    </w:p>
    <w:tbl>
      <w:tblPr>
        <w:tblW w:w="98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300"/>
        <w:gridCol w:w="673"/>
        <w:gridCol w:w="1232"/>
        <w:gridCol w:w="673"/>
      </w:tblGrid>
      <w:tr w:rsidR="000F64BD" w:rsidRPr="00BF439A" w:rsidTr="00151323">
        <w:trPr>
          <w:trHeight w:val="288"/>
          <w:tblHeader/>
        </w:trPr>
        <w:tc>
          <w:tcPr>
            <w:tcW w:w="5922" w:type="dxa"/>
            <w:shd w:val="clear" w:color="000000" w:fill="D9D9D9"/>
            <w:hideMark/>
          </w:tcPr>
          <w:p w:rsidR="00BF439A" w:rsidRPr="00BF439A" w:rsidRDefault="00BF439A" w:rsidP="00BF439A">
            <w:pPr>
              <w:rPr>
                <w:rFonts w:ascii="Calibri" w:hAnsi="Calibri" w:cs="Calibri"/>
                <w:b/>
                <w:bCs/>
                <w:sz w:val="22"/>
                <w:szCs w:val="22"/>
              </w:rPr>
            </w:pPr>
            <w:bookmarkStart w:id="2" w:name="RANGE!A1:E57"/>
            <w:r w:rsidRPr="00BF439A">
              <w:rPr>
                <w:rFonts w:ascii="Calibri" w:hAnsi="Calibri" w:cs="Calibri"/>
                <w:b/>
                <w:bCs/>
                <w:sz w:val="22"/>
                <w:szCs w:val="22"/>
              </w:rPr>
              <w:t>Benchmark Indicator</w:t>
            </w:r>
            <w:bookmarkEnd w:id="2"/>
            <w:r w:rsidR="00222551">
              <w:rPr>
                <w:rFonts w:ascii="Calibri" w:hAnsi="Calibri" w:cs="Calibri"/>
                <w:b/>
                <w:bCs/>
                <w:sz w:val="22"/>
                <w:szCs w:val="22"/>
              </w:rPr>
              <w:t>s (SPi3)</w:t>
            </w:r>
          </w:p>
        </w:tc>
        <w:tc>
          <w:tcPr>
            <w:tcW w:w="1300" w:type="dxa"/>
            <w:shd w:val="clear" w:color="000000" w:fill="D9D9D9"/>
            <w:noWrap/>
            <w:hideMark/>
          </w:tcPr>
          <w:p w:rsidR="00BF439A" w:rsidRPr="00BF439A" w:rsidRDefault="00BF439A" w:rsidP="00BF439A">
            <w:pPr>
              <w:jc w:val="right"/>
              <w:rPr>
                <w:rFonts w:ascii="Calibri" w:hAnsi="Calibri" w:cs="Calibri"/>
                <w:b/>
                <w:bCs/>
                <w:sz w:val="22"/>
                <w:szCs w:val="22"/>
              </w:rPr>
            </w:pPr>
            <w:r w:rsidRPr="00BF439A">
              <w:rPr>
                <w:rFonts w:ascii="Calibri" w:hAnsi="Calibri" w:cs="Calibri"/>
                <w:b/>
                <w:bCs/>
                <w:sz w:val="22"/>
                <w:szCs w:val="22"/>
              </w:rPr>
              <w:t>FY 13/14</w:t>
            </w:r>
          </w:p>
        </w:tc>
        <w:tc>
          <w:tcPr>
            <w:tcW w:w="673" w:type="dxa"/>
            <w:shd w:val="clear" w:color="000000" w:fill="D9D9D9"/>
            <w:noWrap/>
            <w:hideMark/>
          </w:tcPr>
          <w:p w:rsidR="00BF439A" w:rsidRPr="00BF439A" w:rsidRDefault="00BF439A" w:rsidP="00BF439A">
            <w:pPr>
              <w:rPr>
                <w:rFonts w:ascii="Calibri" w:hAnsi="Calibri" w:cs="Calibri"/>
                <w:b/>
                <w:bCs/>
                <w:sz w:val="22"/>
                <w:szCs w:val="22"/>
              </w:rPr>
            </w:pPr>
            <w:r w:rsidRPr="00BF439A">
              <w:rPr>
                <w:rFonts w:ascii="Calibri" w:hAnsi="Calibri" w:cs="Calibri"/>
                <w:b/>
                <w:bCs/>
                <w:sz w:val="22"/>
                <w:szCs w:val="22"/>
              </w:rPr>
              <w:t>Rank</w:t>
            </w:r>
          </w:p>
        </w:tc>
        <w:tc>
          <w:tcPr>
            <w:tcW w:w="1232" w:type="dxa"/>
            <w:shd w:val="clear" w:color="000000" w:fill="D9D9D9"/>
            <w:noWrap/>
            <w:hideMark/>
          </w:tcPr>
          <w:p w:rsidR="00BF439A" w:rsidRPr="00BF439A" w:rsidRDefault="00BF439A" w:rsidP="00BF439A">
            <w:pPr>
              <w:jc w:val="right"/>
              <w:rPr>
                <w:rFonts w:ascii="Calibri" w:hAnsi="Calibri" w:cs="Calibri"/>
                <w:b/>
                <w:bCs/>
                <w:sz w:val="22"/>
                <w:szCs w:val="22"/>
              </w:rPr>
            </w:pPr>
            <w:r w:rsidRPr="00BF439A">
              <w:rPr>
                <w:rFonts w:ascii="Calibri" w:hAnsi="Calibri" w:cs="Calibri"/>
                <w:b/>
                <w:bCs/>
                <w:sz w:val="22"/>
                <w:szCs w:val="22"/>
              </w:rPr>
              <w:t>FY 14/15</w:t>
            </w:r>
          </w:p>
        </w:tc>
        <w:tc>
          <w:tcPr>
            <w:tcW w:w="673" w:type="dxa"/>
            <w:shd w:val="clear" w:color="000000" w:fill="D9D9D9"/>
            <w:noWrap/>
            <w:hideMark/>
          </w:tcPr>
          <w:p w:rsidR="00BF439A" w:rsidRPr="00BF439A" w:rsidRDefault="00BF439A" w:rsidP="00BF439A">
            <w:pPr>
              <w:jc w:val="right"/>
              <w:rPr>
                <w:rFonts w:ascii="Calibri" w:hAnsi="Calibri" w:cs="Calibri"/>
                <w:b/>
                <w:bCs/>
                <w:sz w:val="22"/>
                <w:szCs w:val="22"/>
              </w:rPr>
            </w:pPr>
            <w:r w:rsidRPr="00BF439A">
              <w:rPr>
                <w:rFonts w:ascii="Calibri" w:hAnsi="Calibri" w:cs="Calibri"/>
                <w:b/>
                <w:bCs/>
                <w:sz w:val="22"/>
                <w:szCs w:val="22"/>
              </w:rPr>
              <w:t>Rank</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per museum visit - C&amp;L3</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‎£ 2.32‎</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‎£ 2.10‎</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Leisure Facilities - cost/attendance - C&amp;L1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‎£ 1.64‎</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‎£ 1.87‎</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per primary school pupil - CHN1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‎£ 5,240.72‎</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‎£ 4,980.89‎</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per secondary school pupil - CHN2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‎£ 7,456.94‎</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‎£ 6,955.91‎</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Adult Home Care costs per hour aged 65 and over SW1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‎£ 30.07‎</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31‎</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‎£ 31.18‎</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32‎</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xml:space="preserve">Avg. time to complete </w:t>
            </w:r>
            <w:r w:rsidR="005A6B23" w:rsidRPr="00BF439A">
              <w:rPr>
                <w:rFonts w:ascii="Calibri" w:hAnsi="Calibri" w:cs="Calibri"/>
                <w:sz w:val="22"/>
                <w:szCs w:val="22"/>
              </w:rPr>
              <w:t>non-emergency</w:t>
            </w:r>
            <w:r w:rsidRPr="00BF439A">
              <w:rPr>
                <w:rFonts w:ascii="Calibri" w:hAnsi="Calibri" w:cs="Calibri"/>
                <w:sz w:val="22"/>
                <w:szCs w:val="22"/>
              </w:rPr>
              <w:t xml:space="preserve"> repairs (days) SHR12/HSN4</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8.7‎</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7.3‎</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Gross rent arrears as % of rent due - HSN1/SHR31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‎4.4 %‎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‎4.4 %‎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6‎</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rent loss through voids - HSN2/SHR34</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‎1.2 %‎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‎0.9 %‎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13‎</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parks &amp; open spaces - C&amp;L5b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‎86 %‎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‎91 %‎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refuse collection - ENV7a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‎83 %‎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20‎</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‎90 %‎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street cleaning - ENV7b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‎67 %‎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‎74 %‎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19‎</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of parks &amp; open spaces per 1,000 population - C&amp;L4</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‎£ 16,119.34‎</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‎£ 15,474.05‎</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Net cost of street cleaning per 1,000 population - ENV3a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‎£ 11,607.64‎</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‎£ 11,282.71‎</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Net cost of Waste collection per premises - ENV1a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‎£ 90.93‎</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‎£ 97.95‎</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31‎</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Net cost per Waste disposal per premises - ENV2a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‎£ 112.16‎</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‎£ 102.32‎</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23‎</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of Environmental Health per 1000 population - ENV5b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‎£ 17,317‎</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‎17‎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‎£ 16,924‎</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21‎</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Road Network - U Class ENV4e</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‎37.2 %‎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‎38.8 %‎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19‎</w:t>
            </w:r>
          </w:p>
        </w:tc>
      </w:tr>
      <w:tr w:rsidR="000F64BD" w:rsidRPr="00BF439A" w:rsidTr="00151323">
        <w:trPr>
          <w:trHeight w:val="576"/>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Domestic Noise Complaints - requiring attendance on site the avg. time (hours)- Corp5b2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119.0‎</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146.0‎</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Percentage of Unemployed People Assisted into work ECON1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‎7.40 %‎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‎6.56 %‎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Asset Management - Condition - CAST2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‎58.0 %‎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29‎</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‎79.3 %‎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Asset Management - Suitability - CAST1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‎58.1 %‎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31‎</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‎64.3 %‎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30‎</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of Trading Standards per 1000 population - ENV5a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‎£ 3,790.51‎</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‎£ 3,822.39‎</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8‎</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museums &amp; galleries - C&amp;L5c</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‎69 %‎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21‎</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‎65 %‎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leisure facilities - C&amp;L5d</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‎87 %‎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‎77 %‎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schools - CHN10</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‎79 %‎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‎83 %‎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Council Tax - Collection Costs - Corp4</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‎£ 14.22‎</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‎£ 11.83‎</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Council Tax - Annual % received - Corp7</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‎95.5 %‎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16‎</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‎95.5 %‎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Central Support Services as a proportion of running costs - Corp1</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29</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Democratic core cost per 1,000 population - Corp2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‎£ 44,176.86‎</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‎£ 42,432.43‎</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26‎</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Sickness Teachers - working days lost Corp6a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5.1‎</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5.6‎</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w:t>
            </w:r>
          </w:p>
        </w:tc>
      </w:tr>
      <w:tr w:rsidR="000F64BD" w:rsidRPr="00BF439A" w:rsidTr="00151323">
        <w:trPr>
          <w:trHeight w:val="288"/>
        </w:trPr>
        <w:tc>
          <w:tcPr>
            <w:tcW w:w="5922" w:type="dxa"/>
            <w:shd w:val="clear" w:color="auto" w:fill="auto"/>
            <w:hideMark/>
          </w:tcPr>
          <w:p w:rsidR="00BF439A" w:rsidRPr="00BF439A" w:rsidRDefault="00BF439A" w:rsidP="005A6B23">
            <w:pPr>
              <w:rPr>
                <w:rFonts w:ascii="Calibri" w:hAnsi="Calibri" w:cs="Calibri"/>
                <w:sz w:val="22"/>
                <w:szCs w:val="22"/>
              </w:rPr>
            </w:pPr>
            <w:r w:rsidRPr="00BF439A">
              <w:rPr>
                <w:rFonts w:ascii="Calibri" w:hAnsi="Calibri" w:cs="Calibri"/>
                <w:sz w:val="22"/>
                <w:szCs w:val="22"/>
              </w:rPr>
              <w:t>Sickness THC - Non Teachers - Av</w:t>
            </w:r>
            <w:r w:rsidR="005A6B23">
              <w:rPr>
                <w:rFonts w:ascii="Calibri" w:hAnsi="Calibri" w:cs="Calibri"/>
                <w:sz w:val="22"/>
                <w:szCs w:val="22"/>
              </w:rPr>
              <w:t>erage</w:t>
            </w:r>
            <w:r w:rsidRPr="00BF439A">
              <w:rPr>
                <w:rFonts w:ascii="Calibri" w:hAnsi="Calibri" w:cs="Calibri"/>
                <w:sz w:val="22"/>
                <w:szCs w:val="22"/>
              </w:rPr>
              <w:t xml:space="preserve"> working days lost Corp6b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9.16‎</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9.77‎</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per pre-school education registration - CHN3</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‎£ 2,259.67‎</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‎£ 2,864.66‎</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Invoices Payment within 30 days Corp8</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‎93.3 %‎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‎94.3 %‎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10‎</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per visit to Libraries - C&amp;L2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‎£ 2.44‎</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7‎</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‎£ 2.48‎</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libraries - C&amp;L5a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‎72 %‎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29‎</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‎75 %‎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23‎</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of maintenance per km of roads - ENV4a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‎£ 2,839.43‎</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‎£ 2,696.97‎</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Road network - A Class - ENV4b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‎25.3 %‎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14‎</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‎25.3 %‎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14‎</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Road network - B Class - ENV4c</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‎35.9 %‎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‎35.5 %‎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20‎</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Road network - C Class - ENV4d</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‎41.9 %‎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23‎</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‎41.8 %‎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21‎</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Direct payments spend on 18+ adults - SW2</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‎3.1 %‎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9‎</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‎4.2 %‎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Women managers in top 5% of earners - Corp3b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‎46.7 %‎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‎48.2 %‎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lastRenderedPageBreak/>
              <w:t>Gross cost per bed/w</w:t>
            </w:r>
            <w:r w:rsidRPr="000F64BD">
              <w:rPr>
                <w:rFonts w:ascii="Calibri" w:hAnsi="Calibri" w:cs="Calibri"/>
                <w:sz w:val="22"/>
                <w:szCs w:val="22"/>
              </w:rPr>
              <w:t>ee</w:t>
            </w:r>
            <w:r w:rsidRPr="00BF439A">
              <w:rPr>
                <w:rFonts w:ascii="Calibri" w:hAnsi="Calibri" w:cs="Calibri"/>
                <w:sz w:val="22"/>
                <w:szCs w:val="22"/>
              </w:rPr>
              <w:t>k Children’s Res units - CHN8a</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‎£ 2,846.58‎</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14‎</w:t>
            </w:r>
          </w:p>
        </w:tc>
        <w:tc>
          <w:tcPr>
            <w:tcW w:w="1232"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c>
          <w:tcPr>
            <w:tcW w:w="673"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Cost of LAC per child per week - community - CHN8b</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‎£ 216.03‎</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11‎</w:t>
            </w:r>
          </w:p>
        </w:tc>
        <w:tc>
          <w:tcPr>
            <w:tcW w:w="1232"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c>
          <w:tcPr>
            <w:tcW w:w="673"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of LAC in the community - CHN9</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‎81.0 %‎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30‎</w:t>
            </w:r>
          </w:p>
        </w:tc>
        <w:tc>
          <w:tcPr>
            <w:tcW w:w="1232"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c>
          <w:tcPr>
            <w:tcW w:w="673" w:type="dxa"/>
            <w:shd w:val="pct15"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properties at or above NHER or SAP ratings HSN5/SHR8</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‎75.7 %‎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25‎</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‎86.7 %‎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26‎</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adults satisfied - social care or SWS - SW4</w:t>
            </w:r>
          </w:p>
        </w:tc>
        <w:tc>
          <w:tcPr>
            <w:tcW w:w="1300"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‎54.0 %‎</w:t>
            </w:r>
          </w:p>
        </w:tc>
        <w:tc>
          <w:tcPr>
            <w:tcW w:w="673" w:type="dxa"/>
            <w:shd w:val="clear" w:color="auto" w:fill="auto"/>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‎52.0 %‎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15‎</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 of 65+ with intensive needs receiving care at home - SW3</w:t>
            </w:r>
          </w:p>
        </w:tc>
        <w:tc>
          <w:tcPr>
            <w:tcW w:w="1300"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‎21.0 %‎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32‎</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‎21.6 %‎</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31‎</w:t>
            </w:r>
          </w:p>
        </w:tc>
      </w:tr>
      <w:tr w:rsidR="000F64BD" w:rsidRPr="00BF439A" w:rsidTr="00151323">
        <w:trPr>
          <w:trHeight w:val="288"/>
        </w:trPr>
        <w:tc>
          <w:tcPr>
            <w:tcW w:w="5922" w:type="dxa"/>
            <w:shd w:val="clear" w:color="auto" w:fill="auto"/>
            <w:hideMark/>
          </w:tcPr>
          <w:p w:rsidR="00BF439A" w:rsidRPr="00BF439A" w:rsidRDefault="00BF439A" w:rsidP="00BF439A">
            <w:pPr>
              <w:rPr>
                <w:rFonts w:ascii="Calibri" w:hAnsi="Calibri" w:cs="Calibri"/>
                <w:sz w:val="22"/>
                <w:szCs w:val="22"/>
              </w:rPr>
            </w:pPr>
            <w:r w:rsidRPr="00BF439A">
              <w:rPr>
                <w:rFonts w:ascii="Calibri" w:hAnsi="Calibri" w:cs="Calibri"/>
                <w:sz w:val="22"/>
                <w:szCs w:val="22"/>
              </w:rPr>
              <w:t>Net Residential Costs per week Older Adults 65+ SW5</w:t>
            </w:r>
          </w:p>
        </w:tc>
        <w:tc>
          <w:tcPr>
            <w:tcW w:w="1300"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‎£ 406.94‎</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w:t>
            </w:r>
          </w:p>
        </w:tc>
        <w:tc>
          <w:tcPr>
            <w:tcW w:w="1232"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‎£ 406.39‎</w:t>
            </w:r>
          </w:p>
        </w:tc>
        <w:tc>
          <w:tcPr>
            <w:tcW w:w="673" w:type="dxa"/>
            <w:shd w:val="clear" w:color="000000" w:fill="FFFFFF"/>
            <w:vAlign w:val="center"/>
            <w:hideMark/>
          </w:tcPr>
          <w:p w:rsidR="00BF439A" w:rsidRPr="00BF439A" w:rsidRDefault="00BF439A" w:rsidP="00BF439A">
            <w:pPr>
              <w:jc w:val="right"/>
              <w:rPr>
                <w:rFonts w:ascii="Calibri" w:hAnsi="Calibri" w:cs="Calibri"/>
                <w:sz w:val="22"/>
                <w:szCs w:val="22"/>
              </w:rPr>
            </w:pPr>
            <w:r w:rsidRPr="00BF439A">
              <w:rPr>
                <w:rFonts w:ascii="Calibri" w:hAnsi="Calibri" w:cs="Calibri"/>
                <w:sz w:val="22"/>
                <w:szCs w:val="22"/>
              </w:rPr>
              <w:t>‎ 24‎</w:t>
            </w:r>
          </w:p>
        </w:tc>
      </w:tr>
      <w:tr w:rsidR="000F64BD" w:rsidRPr="00BF439A" w:rsidTr="00151323">
        <w:trPr>
          <w:trHeight w:val="288"/>
        </w:trPr>
        <w:tc>
          <w:tcPr>
            <w:tcW w:w="5922" w:type="dxa"/>
            <w:shd w:val="clear" w:color="auto" w:fill="auto"/>
            <w:hideMark/>
          </w:tcPr>
          <w:p w:rsidR="00BF439A" w:rsidRPr="00BB5AE4" w:rsidRDefault="00BF439A" w:rsidP="00BF439A">
            <w:pPr>
              <w:rPr>
                <w:rFonts w:ascii="Calibri" w:hAnsi="Calibri" w:cs="Calibri"/>
                <w:sz w:val="22"/>
                <w:szCs w:val="22"/>
              </w:rPr>
            </w:pPr>
            <w:r w:rsidRPr="00BB5AE4">
              <w:rPr>
                <w:rFonts w:ascii="Calibri" w:hAnsi="Calibri" w:cs="Calibri"/>
                <w:sz w:val="22"/>
                <w:szCs w:val="22"/>
              </w:rPr>
              <w:t>Street Cleanliness Score - ENV3b</w:t>
            </w:r>
          </w:p>
        </w:tc>
        <w:tc>
          <w:tcPr>
            <w:tcW w:w="1300" w:type="dxa"/>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 99‎</w:t>
            </w:r>
          </w:p>
        </w:tc>
        <w:tc>
          <w:tcPr>
            <w:tcW w:w="673" w:type="dxa"/>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 4‎</w:t>
            </w:r>
          </w:p>
        </w:tc>
        <w:tc>
          <w:tcPr>
            <w:tcW w:w="1232" w:type="dxa"/>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 98‎</w:t>
            </w:r>
          </w:p>
        </w:tc>
        <w:tc>
          <w:tcPr>
            <w:tcW w:w="673" w:type="dxa"/>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 5‎</w:t>
            </w:r>
          </w:p>
        </w:tc>
      </w:tr>
      <w:tr w:rsidR="000F64BD" w:rsidRPr="00BF439A" w:rsidTr="00151323">
        <w:trPr>
          <w:trHeight w:val="288"/>
        </w:trPr>
        <w:tc>
          <w:tcPr>
            <w:tcW w:w="5922" w:type="dxa"/>
            <w:tcBorders>
              <w:bottom w:val="single" w:sz="4" w:space="0" w:color="auto"/>
            </w:tcBorders>
            <w:shd w:val="clear" w:color="auto" w:fill="auto"/>
            <w:hideMark/>
          </w:tcPr>
          <w:p w:rsidR="00BF439A" w:rsidRPr="00BB5AE4" w:rsidRDefault="00BF439A" w:rsidP="00BF439A">
            <w:pPr>
              <w:rPr>
                <w:rFonts w:ascii="Calibri" w:hAnsi="Calibri" w:cs="Calibri"/>
                <w:sz w:val="22"/>
                <w:szCs w:val="22"/>
              </w:rPr>
            </w:pPr>
            <w:r w:rsidRPr="00BB5AE4">
              <w:rPr>
                <w:rFonts w:ascii="Calibri" w:hAnsi="Calibri" w:cs="Calibri"/>
                <w:sz w:val="22"/>
                <w:szCs w:val="22"/>
              </w:rPr>
              <w:t>SHQS - % total meeting SHQS - HSN3/SHR7</w:t>
            </w:r>
          </w:p>
        </w:tc>
        <w:tc>
          <w:tcPr>
            <w:tcW w:w="1300" w:type="dxa"/>
            <w:tcBorders>
              <w:bottom w:val="single" w:sz="4" w:space="0" w:color="auto"/>
            </w:tcBorders>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‎70.2 %‎</w:t>
            </w:r>
          </w:p>
        </w:tc>
        <w:tc>
          <w:tcPr>
            <w:tcW w:w="673" w:type="dxa"/>
            <w:tcBorders>
              <w:bottom w:val="single" w:sz="4" w:space="0" w:color="auto"/>
            </w:tcBorders>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25</w:t>
            </w:r>
          </w:p>
        </w:tc>
        <w:tc>
          <w:tcPr>
            <w:tcW w:w="1232" w:type="dxa"/>
            <w:tcBorders>
              <w:bottom w:val="single" w:sz="4" w:space="0" w:color="auto"/>
            </w:tcBorders>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‎85.2 %‎</w:t>
            </w:r>
          </w:p>
        </w:tc>
        <w:tc>
          <w:tcPr>
            <w:tcW w:w="673" w:type="dxa"/>
            <w:tcBorders>
              <w:bottom w:val="single" w:sz="4" w:space="0" w:color="auto"/>
            </w:tcBorders>
            <w:shd w:val="clear" w:color="000000" w:fill="FFFFFF"/>
            <w:vAlign w:val="center"/>
            <w:hideMark/>
          </w:tcPr>
          <w:p w:rsidR="00BF439A" w:rsidRPr="00BB5AE4" w:rsidRDefault="00BF439A" w:rsidP="00BF439A">
            <w:pPr>
              <w:jc w:val="right"/>
              <w:rPr>
                <w:rFonts w:ascii="Calibri" w:hAnsi="Calibri" w:cs="Calibri"/>
                <w:sz w:val="22"/>
                <w:szCs w:val="22"/>
              </w:rPr>
            </w:pPr>
            <w:r w:rsidRPr="00BB5AE4">
              <w:rPr>
                <w:rFonts w:ascii="Calibri" w:hAnsi="Calibri" w:cs="Calibri"/>
                <w:sz w:val="22"/>
                <w:szCs w:val="22"/>
              </w:rPr>
              <w:t>19</w:t>
            </w:r>
          </w:p>
        </w:tc>
      </w:tr>
      <w:tr w:rsidR="00151323" w:rsidRPr="00BF439A" w:rsidTr="00151323">
        <w:trPr>
          <w:trHeight w:val="288"/>
        </w:trPr>
        <w:tc>
          <w:tcPr>
            <w:tcW w:w="5922" w:type="dxa"/>
            <w:shd w:val="pct15" w:color="auto" w:fill="auto"/>
          </w:tcPr>
          <w:p w:rsidR="00151323" w:rsidRPr="00BF439A" w:rsidRDefault="00151323" w:rsidP="00151323">
            <w:pPr>
              <w:rPr>
                <w:rFonts w:ascii="Calibri" w:hAnsi="Calibri" w:cs="Calibri"/>
                <w:b/>
                <w:bCs/>
                <w:sz w:val="22"/>
                <w:szCs w:val="22"/>
              </w:rPr>
            </w:pPr>
            <w:r w:rsidRPr="00BF439A">
              <w:rPr>
                <w:rFonts w:ascii="Calibri" w:hAnsi="Calibri" w:cs="Calibri"/>
                <w:b/>
                <w:bCs/>
                <w:sz w:val="22"/>
                <w:szCs w:val="22"/>
              </w:rPr>
              <w:t>Benchmark Indicator</w:t>
            </w:r>
            <w:r>
              <w:rPr>
                <w:rFonts w:ascii="Calibri" w:hAnsi="Calibri" w:cs="Calibri"/>
                <w:b/>
                <w:bCs/>
                <w:sz w:val="22"/>
                <w:szCs w:val="22"/>
              </w:rPr>
              <w:t>s (SPi3)</w:t>
            </w:r>
          </w:p>
        </w:tc>
        <w:tc>
          <w:tcPr>
            <w:tcW w:w="1300" w:type="dxa"/>
            <w:shd w:val="pct15" w:color="auto" w:fill="auto"/>
          </w:tcPr>
          <w:p w:rsidR="00151323" w:rsidRPr="00BF439A" w:rsidRDefault="001D55AB" w:rsidP="00151323">
            <w:pPr>
              <w:jc w:val="right"/>
              <w:rPr>
                <w:rFonts w:ascii="Calibri" w:hAnsi="Calibri" w:cs="Calibri"/>
                <w:b/>
                <w:bCs/>
                <w:sz w:val="22"/>
                <w:szCs w:val="22"/>
              </w:rPr>
            </w:pPr>
            <w:r>
              <w:rPr>
                <w:rFonts w:ascii="Calibri" w:hAnsi="Calibri" w:cs="Calibri"/>
                <w:b/>
                <w:bCs/>
                <w:sz w:val="22"/>
                <w:szCs w:val="22"/>
              </w:rPr>
              <w:t>A</w:t>
            </w:r>
            <w:r w:rsidR="00151323" w:rsidRPr="00BF439A">
              <w:rPr>
                <w:rFonts w:ascii="Calibri" w:hAnsi="Calibri" w:cs="Calibri"/>
                <w:b/>
                <w:bCs/>
                <w:sz w:val="22"/>
                <w:szCs w:val="22"/>
              </w:rPr>
              <w:t>Y 13/14</w:t>
            </w:r>
          </w:p>
        </w:tc>
        <w:tc>
          <w:tcPr>
            <w:tcW w:w="673" w:type="dxa"/>
            <w:shd w:val="pct15" w:color="auto" w:fill="auto"/>
          </w:tcPr>
          <w:p w:rsidR="00151323" w:rsidRPr="00BF439A" w:rsidRDefault="00151323" w:rsidP="00151323">
            <w:pPr>
              <w:rPr>
                <w:rFonts w:ascii="Calibri" w:hAnsi="Calibri" w:cs="Calibri"/>
                <w:b/>
                <w:bCs/>
                <w:sz w:val="22"/>
                <w:szCs w:val="22"/>
              </w:rPr>
            </w:pPr>
            <w:r w:rsidRPr="00BF439A">
              <w:rPr>
                <w:rFonts w:ascii="Calibri" w:hAnsi="Calibri" w:cs="Calibri"/>
                <w:b/>
                <w:bCs/>
                <w:sz w:val="22"/>
                <w:szCs w:val="22"/>
              </w:rPr>
              <w:t>Rank</w:t>
            </w:r>
          </w:p>
        </w:tc>
        <w:tc>
          <w:tcPr>
            <w:tcW w:w="1232" w:type="dxa"/>
            <w:shd w:val="pct15" w:color="auto" w:fill="auto"/>
          </w:tcPr>
          <w:p w:rsidR="00151323" w:rsidRPr="00BF439A" w:rsidRDefault="001D55AB" w:rsidP="00151323">
            <w:pPr>
              <w:jc w:val="right"/>
              <w:rPr>
                <w:rFonts w:ascii="Calibri" w:hAnsi="Calibri" w:cs="Calibri"/>
                <w:b/>
                <w:bCs/>
                <w:sz w:val="22"/>
                <w:szCs w:val="22"/>
              </w:rPr>
            </w:pPr>
            <w:r>
              <w:rPr>
                <w:rFonts w:ascii="Calibri" w:hAnsi="Calibri" w:cs="Calibri"/>
                <w:b/>
                <w:bCs/>
                <w:sz w:val="22"/>
                <w:szCs w:val="22"/>
              </w:rPr>
              <w:t>A</w:t>
            </w:r>
            <w:r w:rsidR="00151323" w:rsidRPr="00BF439A">
              <w:rPr>
                <w:rFonts w:ascii="Calibri" w:hAnsi="Calibri" w:cs="Calibri"/>
                <w:b/>
                <w:bCs/>
                <w:sz w:val="22"/>
                <w:szCs w:val="22"/>
              </w:rPr>
              <w:t>Y 14/15</w:t>
            </w:r>
          </w:p>
        </w:tc>
        <w:tc>
          <w:tcPr>
            <w:tcW w:w="673" w:type="dxa"/>
            <w:shd w:val="pct15" w:color="auto" w:fill="auto"/>
          </w:tcPr>
          <w:p w:rsidR="00151323" w:rsidRPr="00BF439A" w:rsidRDefault="00151323" w:rsidP="00151323">
            <w:pPr>
              <w:jc w:val="right"/>
              <w:rPr>
                <w:rFonts w:ascii="Calibri" w:hAnsi="Calibri" w:cs="Calibri"/>
                <w:b/>
                <w:bCs/>
                <w:sz w:val="22"/>
                <w:szCs w:val="22"/>
              </w:rPr>
            </w:pPr>
            <w:r w:rsidRPr="00BF439A">
              <w:rPr>
                <w:rFonts w:ascii="Calibri" w:hAnsi="Calibri" w:cs="Calibri"/>
                <w:b/>
                <w:bCs/>
                <w:sz w:val="22"/>
                <w:szCs w:val="22"/>
              </w:rPr>
              <w:t>Rank</w:t>
            </w:r>
          </w:p>
        </w:tc>
      </w:tr>
      <w:tr w:rsidR="00151323" w:rsidRPr="00BF439A" w:rsidTr="00151323">
        <w:trPr>
          <w:trHeight w:val="288"/>
        </w:trPr>
        <w:tc>
          <w:tcPr>
            <w:tcW w:w="5922" w:type="dxa"/>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Pupils entering positive destinations - CHN11</w:t>
            </w:r>
          </w:p>
        </w:tc>
        <w:tc>
          <w:tcPr>
            <w:tcW w:w="1300"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‎92.7 %‎</w:t>
            </w:r>
          </w:p>
        </w:tc>
        <w:tc>
          <w:tcPr>
            <w:tcW w:w="673" w:type="dxa"/>
            <w:shd w:val="clear" w:color="000000" w:fill="FFFFFF"/>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 16‎</w:t>
            </w:r>
          </w:p>
        </w:tc>
        <w:tc>
          <w:tcPr>
            <w:tcW w:w="1232" w:type="dxa"/>
            <w:shd w:val="clear" w:color="000000" w:fill="FFFFFF"/>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‎93.7 %‎</w:t>
            </w:r>
          </w:p>
        </w:tc>
        <w:tc>
          <w:tcPr>
            <w:tcW w:w="673" w:type="dxa"/>
            <w:shd w:val="clear" w:color="000000" w:fill="FFFFFF"/>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 14‎</w:t>
            </w:r>
          </w:p>
        </w:tc>
      </w:tr>
      <w:tr w:rsidR="00151323" w:rsidRPr="00BF439A" w:rsidTr="00151323">
        <w:trPr>
          <w:trHeight w:val="288"/>
        </w:trPr>
        <w:tc>
          <w:tcPr>
            <w:tcW w:w="5922" w:type="dxa"/>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SCQF Level 5 attainment by all children - CHN4</w:t>
            </w:r>
          </w:p>
        </w:tc>
        <w:tc>
          <w:tcPr>
            <w:tcW w:w="1300" w:type="dxa"/>
            <w:shd w:val="pct15" w:color="000000" w:fill="FFFFFF"/>
            <w:vAlign w:val="center"/>
          </w:tcPr>
          <w:p w:rsidR="00151323" w:rsidRPr="00BB5AE4" w:rsidRDefault="00151323" w:rsidP="00BF439A">
            <w:pPr>
              <w:jc w:val="right"/>
              <w:rPr>
                <w:rFonts w:ascii="Calibri" w:hAnsi="Calibri" w:cs="Calibri"/>
                <w:sz w:val="22"/>
                <w:szCs w:val="22"/>
              </w:rPr>
            </w:pPr>
          </w:p>
        </w:tc>
        <w:tc>
          <w:tcPr>
            <w:tcW w:w="673" w:type="dxa"/>
            <w:shd w:val="pct15" w:color="000000" w:fill="FFFFFF"/>
            <w:vAlign w:val="center"/>
          </w:tcPr>
          <w:p w:rsidR="00151323" w:rsidRPr="00BB5AE4" w:rsidRDefault="00151323" w:rsidP="00BF439A">
            <w:pPr>
              <w:jc w:val="right"/>
              <w:rPr>
                <w:rFonts w:ascii="Calibri" w:hAnsi="Calibri" w:cs="Calibri"/>
                <w:sz w:val="22"/>
                <w:szCs w:val="22"/>
              </w:rPr>
            </w:pPr>
          </w:p>
        </w:tc>
        <w:tc>
          <w:tcPr>
            <w:tcW w:w="1232" w:type="dxa"/>
            <w:shd w:val="pct15"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w:t>
            </w:r>
          </w:p>
        </w:tc>
        <w:tc>
          <w:tcPr>
            <w:tcW w:w="673" w:type="dxa"/>
            <w:shd w:val="pct15"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w:t>
            </w:r>
          </w:p>
        </w:tc>
      </w:tr>
      <w:tr w:rsidR="00151323" w:rsidRPr="00BF439A" w:rsidTr="00151323">
        <w:trPr>
          <w:trHeight w:val="288"/>
        </w:trPr>
        <w:tc>
          <w:tcPr>
            <w:tcW w:w="5922" w:type="dxa"/>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SCQF Level 6 attainment by all children - CHN5</w:t>
            </w:r>
          </w:p>
        </w:tc>
        <w:tc>
          <w:tcPr>
            <w:tcW w:w="1300"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‎26.0 %‎</w:t>
            </w:r>
          </w:p>
        </w:tc>
        <w:tc>
          <w:tcPr>
            <w:tcW w:w="673"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 12‎</w:t>
            </w:r>
          </w:p>
        </w:tc>
        <w:tc>
          <w:tcPr>
            <w:tcW w:w="1232"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‎27.7 %‎</w:t>
            </w:r>
          </w:p>
        </w:tc>
        <w:tc>
          <w:tcPr>
            <w:tcW w:w="673"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 15‎</w:t>
            </w:r>
          </w:p>
        </w:tc>
      </w:tr>
      <w:tr w:rsidR="00151323" w:rsidRPr="00BF439A" w:rsidTr="00151323">
        <w:trPr>
          <w:trHeight w:val="576"/>
        </w:trPr>
        <w:tc>
          <w:tcPr>
            <w:tcW w:w="5922" w:type="dxa"/>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SCQF Level 5 attainment by children from deprived backgrounds - CHN6</w:t>
            </w:r>
          </w:p>
        </w:tc>
        <w:tc>
          <w:tcPr>
            <w:tcW w:w="1300" w:type="dxa"/>
            <w:shd w:val="pct12" w:color="000000" w:fill="FFFFFF"/>
            <w:vAlign w:val="center"/>
          </w:tcPr>
          <w:p w:rsidR="00151323" w:rsidRPr="00BB5AE4" w:rsidRDefault="00151323" w:rsidP="00BF439A">
            <w:pPr>
              <w:jc w:val="right"/>
              <w:rPr>
                <w:rFonts w:ascii="Calibri" w:hAnsi="Calibri" w:cs="Calibri"/>
                <w:sz w:val="22"/>
                <w:szCs w:val="22"/>
              </w:rPr>
            </w:pPr>
          </w:p>
        </w:tc>
        <w:tc>
          <w:tcPr>
            <w:tcW w:w="673" w:type="dxa"/>
            <w:shd w:val="pct12" w:color="000000" w:fill="FFFFFF"/>
            <w:vAlign w:val="center"/>
          </w:tcPr>
          <w:p w:rsidR="00151323" w:rsidRPr="00BB5AE4" w:rsidRDefault="00151323" w:rsidP="00BF439A">
            <w:pPr>
              <w:jc w:val="right"/>
              <w:rPr>
                <w:rFonts w:ascii="Calibri" w:hAnsi="Calibri" w:cs="Calibri"/>
                <w:sz w:val="22"/>
                <w:szCs w:val="22"/>
              </w:rPr>
            </w:pPr>
          </w:p>
        </w:tc>
        <w:tc>
          <w:tcPr>
            <w:tcW w:w="1232" w:type="dxa"/>
            <w:shd w:val="pct15"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w:t>
            </w:r>
          </w:p>
        </w:tc>
        <w:tc>
          <w:tcPr>
            <w:tcW w:w="673" w:type="dxa"/>
            <w:shd w:val="pct15"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w:t>
            </w:r>
          </w:p>
        </w:tc>
      </w:tr>
      <w:tr w:rsidR="00151323" w:rsidRPr="00BF439A" w:rsidTr="00151323">
        <w:trPr>
          <w:trHeight w:val="576"/>
        </w:trPr>
        <w:tc>
          <w:tcPr>
            <w:tcW w:w="5922" w:type="dxa"/>
            <w:tcBorders>
              <w:bottom w:val="single" w:sz="4" w:space="0" w:color="auto"/>
            </w:tcBorders>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SCQF Level 6 attainment by children from deprived backgrounds - CHN7</w:t>
            </w:r>
          </w:p>
        </w:tc>
        <w:tc>
          <w:tcPr>
            <w:tcW w:w="1300" w:type="dxa"/>
            <w:tcBorders>
              <w:bottom w:val="single" w:sz="4" w:space="0" w:color="auto"/>
            </w:tcBorders>
            <w:shd w:val="clear" w:color="auto" w:fill="auto"/>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‎11.8%‎</w:t>
            </w:r>
          </w:p>
        </w:tc>
        <w:tc>
          <w:tcPr>
            <w:tcW w:w="673" w:type="dxa"/>
            <w:tcBorders>
              <w:bottom w:val="single" w:sz="4" w:space="0" w:color="auto"/>
            </w:tcBorders>
            <w:shd w:val="clear" w:color="auto" w:fill="auto"/>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 17‎</w:t>
            </w:r>
          </w:p>
        </w:tc>
        <w:tc>
          <w:tcPr>
            <w:tcW w:w="1232" w:type="dxa"/>
            <w:tcBorders>
              <w:bottom w:val="single" w:sz="4" w:space="0" w:color="auto"/>
            </w:tcBorders>
            <w:shd w:val="clear" w:color="000000" w:fill="FFFFFF"/>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‎12.8 %‎</w:t>
            </w:r>
          </w:p>
        </w:tc>
        <w:tc>
          <w:tcPr>
            <w:tcW w:w="673" w:type="dxa"/>
            <w:tcBorders>
              <w:bottom w:val="single" w:sz="4" w:space="0" w:color="auto"/>
            </w:tcBorders>
            <w:shd w:val="clear" w:color="000000" w:fill="FFFFFF"/>
            <w:vAlign w:val="center"/>
            <w:hideMark/>
          </w:tcPr>
          <w:p w:rsidR="00151323" w:rsidRPr="00BB5AE4" w:rsidRDefault="00151323" w:rsidP="000129D2">
            <w:pPr>
              <w:jc w:val="right"/>
              <w:rPr>
                <w:rFonts w:ascii="Calibri" w:hAnsi="Calibri" w:cs="Calibri"/>
                <w:sz w:val="22"/>
                <w:szCs w:val="22"/>
              </w:rPr>
            </w:pPr>
            <w:r w:rsidRPr="00BB5AE4">
              <w:rPr>
                <w:rFonts w:ascii="Calibri" w:hAnsi="Calibri" w:cs="Calibri"/>
                <w:sz w:val="22"/>
                <w:szCs w:val="22"/>
              </w:rPr>
              <w:t>‎ 11‎</w:t>
            </w:r>
          </w:p>
        </w:tc>
      </w:tr>
      <w:tr w:rsidR="00151323" w:rsidRPr="00BF439A" w:rsidTr="00151323">
        <w:trPr>
          <w:trHeight w:val="288"/>
        </w:trPr>
        <w:tc>
          <w:tcPr>
            <w:tcW w:w="5922" w:type="dxa"/>
            <w:shd w:val="pct15" w:color="auto" w:fill="auto"/>
          </w:tcPr>
          <w:p w:rsidR="00151323" w:rsidRPr="00BF439A" w:rsidRDefault="00151323" w:rsidP="00151323">
            <w:pPr>
              <w:rPr>
                <w:rFonts w:ascii="Calibri" w:hAnsi="Calibri" w:cs="Calibri"/>
                <w:b/>
                <w:bCs/>
                <w:sz w:val="22"/>
                <w:szCs w:val="22"/>
              </w:rPr>
            </w:pPr>
            <w:r w:rsidRPr="00BF439A">
              <w:rPr>
                <w:rFonts w:ascii="Calibri" w:hAnsi="Calibri" w:cs="Calibri"/>
                <w:b/>
                <w:bCs/>
                <w:sz w:val="22"/>
                <w:szCs w:val="22"/>
              </w:rPr>
              <w:t>Benchmark Indicator</w:t>
            </w:r>
            <w:r>
              <w:rPr>
                <w:rFonts w:ascii="Calibri" w:hAnsi="Calibri" w:cs="Calibri"/>
                <w:b/>
                <w:bCs/>
                <w:sz w:val="22"/>
                <w:szCs w:val="22"/>
              </w:rPr>
              <w:t>s (SPi3)</w:t>
            </w:r>
          </w:p>
        </w:tc>
        <w:tc>
          <w:tcPr>
            <w:tcW w:w="1300" w:type="dxa"/>
            <w:shd w:val="pct15" w:color="auto" w:fill="auto"/>
          </w:tcPr>
          <w:p w:rsidR="00151323" w:rsidRPr="00BF439A" w:rsidRDefault="001D55AB" w:rsidP="004D2BF2">
            <w:pPr>
              <w:jc w:val="right"/>
              <w:rPr>
                <w:rFonts w:ascii="Calibri" w:hAnsi="Calibri" w:cs="Calibri"/>
                <w:b/>
                <w:bCs/>
                <w:sz w:val="22"/>
                <w:szCs w:val="22"/>
              </w:rPr>
            </w:pPr>
            <w:r>
              <w:rPr>
                <w:rFonts w:ascii="Calibri" w:hAnsi="Calibri" w:cs="Calibri"/>
                <w:b/>
                <w:bCs/>
                <w:sz w:val="22"/>
                <w:szCs w:val="22"/>
              </w:rPr>
              <w:t>C</w:t>
            </w:r>
            <w:r w:rsidR="00151323" w:rsidRPr="00BF439A">
              <w:rPr>
                <w:rFonts w:ascii="Calibri" w:hAnsi="Calibri" w:cs="Calibri"/>
                <w:b/>
                <w:bCs/>
                <w:sz w:val="22"/>
                <w:szCs w:val="22"/>
              </w:rPr>
              <w:t xml:space="preserve">Y </w:t>
            </w:r>
            <w:r w:rsidR="004D2BF2">
              <w:rPr>
                <w:rFonts w:ascii="Calibri" w:hAnsi="Calibri" w:cs="Calibri"/>
                <w:b/>
                <w:bCs/>
                <w:sz w:val="22"/>
                <w:szCs w:val="22"/>
              </w:rPr>
              <w:t>2013</w:t>
            </w:r>
          </w:p>
        </w:tc>
        <w:tc>
          <w:tcPr>
            <w:tcW w:w="673" w:type="dxa"/>
            <w:shd w:val="pct15" w:color="auto" w:fill="auto"/>
          </w:tcPr>
          <w:p w:rsidR="00151323" w:rsidRPr="00BF439A" w:rsidRDefault="00151323" w:rsidP="00151323">
            <w:pPr>
              <w:rPr>
                <w:rFonts w:ascii="Calibri" w:hAnsi="Calibri" w:cs="Calibri"/>
                <w:b/>
                <w:bCs/>
                <w:sz w:val="22"/>
                <w:szCs w:val="22"/>
              </w:rPr>
            </w:pPr>
            <w:r w:rsidRPr="00BF439A">
              <w:rPr>
                <w:rFonts w:ascii="Calibri" w:hAnsi="Calibri" w:cs="Calibri"/>
                <w:b/>
                <w:bCs/>
                <w:sz w:val="22"/>
                <w:szCs w:val="22"/>
              </w:rPr>
              <w:t>Rank</w:t>
            </w:r>
          </w:p>
        </w:tc>
        <w:tc>
          <w:tcPr>
            <w:tcW w:w="1232" w:type="dxa"/>
            <w:shd w:val="pct15" w:color="auto" w:fill="auto"/>
          </w:tcPr>
          <w:p w:rsidR="00151323" w:rsidRPr="00BF439A" w:rsidRDefault="001D55AB" w:rsidP="004D2BF2">
            <w:pPr>
              <w:jc w:val="right"/>
              <w:rPr>
                <w:rFonts w:ascii="Calibri" w:hAnsi="Calibri" w:cs="Calibri"/>
                <w:b/>
                <w:bCs/>
                <w:sz w:val="22"/>
                <w:szCs w:val="22"/>
              </w:rPr>
            </w:pPr>
            <w:r>
              <w:rPr>
                <w:rFonts w:ascii="Calibri" w:hAnsi="Calibri" w:cs="Calibri"/>
                <w:b/>
                <w:bCs/>
                <w:sz w:val="22"/>
                <w:szCs w:val="22"/>
              </w:rPr>
              <w:t>C</w:t>
            </w:r>
            <w:r w:rsidR="00151323" w:rsidRPr="00BF439A">
              <w:rPr>
                <w:rFonts w:ascii="Calibri" w:hAnsi="Calibri" w:cs="Calibri"/>
                <w:b/>
                <w:bCs/>
                <w:sz w:val="22"/>
                <w:szCs w:val="22"/>
              </w:rPr>
              <w:t xml:space="preserve">Y </w:t>
            </w:r>
            <w:r w:rsidR="004D2BF2">
              <w:rPr>
                <w:rFonts w:ascii="Calibri" w:hAnsi="Calibri" w:cs="Calibri"/>
                <w:b/>
                <w:bCs/>
                <w:sz w:val="22"/>
                <w:szCs w:val="22"/>
              </w:rPr>
              <w:t>2014</w:t>
            </w:r>
          </w:p>
        </w:tc>
        <w:tc>
          <w:tcPr>
            <w:tcW w:w="673" w:type="dxa"/>
            <w:shd w:val="pct15" w:color="auto" w:fill="auto"/>
          </w:tcPr>
          <w:p w:rsidR="00151323" w:rsidRPr="00BF439A" w:rsidRDefault="00151323" w:rsidP="00151323">
            <w:pPr>
              <w:jc w:val="right"/>
              <w:rPr>
                <w:rFonts w:ascii="Calibri" w:hAnsi="Calibri" w:cs="Calibri"/>
                <w:b/>
                <w:bCs/>
                <w:sz w:val="22"/>
                <w:szCs w:val="22"/>
              </w:rPr>
            </w:pPr>
            <w:r w:rsidRPr="00BF439A">
              <w:rPr>
                <w:rFonts w:ascii="Calibri" w:hAnsi="Calibri" w:cs="Calibri"/>
                <w:b/>
                <w:bCs/>
                <w:sz w:val="22"/>
                <w:szCs w:val="22"/>
              </w:rPr>
              <w:t>Rank</w:t>
            </w:r>
          </w:p>
        </w:tc>
      </w:tr>
      <w:tr w:rsidR="00151323" w:rsidRPr="00BF439A" w:rsidTr="00151323">
        <w:trPr>
          <w:trHeight w:val="288"/>
        </w:trPr>
        <w:tc>
          <w:tcPr>
            <w:tcW w:w="5922" w:type="dxa"/>
            <w:shd w:val="clear" w:color="auto" w:fill="auto"/>
            <w:hideMark/>
          </w:tcPr>
          <w:p w:rsidR="00151323" w:rsidRPr="00BB5AE4" w:rsidRDefault="00151323" w:rsidP="00BF439A">
            <w:pPr>
              <w:rPr>
                <w:rFonts w:ascii="Calibri" w:hAnsi="Calibri" w:cs="Calibri"/>
                <w:sz w:val="22"/>
                <w:szCs w:val="22"/>
              </w:rPr>
            </w:pPr>
            <w:r w:rsidRPr="00BB5AE4">
              <w:rPr>
                <w:rFonts w:ascii="Calibri" w:hAnsi="Calibri" w:cs="Calibri"/>
                <w:sz w:val="22"/>
                <w:szCs w:val="22"/>
              </w:rPr>
              <w:t xml:space="preserve">% Household waste recycled and composted CY - ENV6 </w:t>
            </w:r>
          </w:p>
        </w:tc>
        <w:tc>
          <w:tcPr>
            <w:tcW w:w="1300" w:type="dxa"/>
            <w:shd w:val="clear" w:color="auto" w:fill="auto"/>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‎45.0 %‎</w:t>
            </w:r>
          </w:p>
        </w:tc>
        <w:tc>
          <w:tcPr>
            <w:tcW w:w="673" w:type="dxa"/>
            <w:shd w:val="clear" w:color="auto" w:fill="auto"/>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 11‎</w:t>
            </w:r>
          </w:p>
        </w:tc>
        <w:tc>
          <w:tcPr>
            <w:tcW w:w="1232"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‎46.3 %‎</w:t>
            </w:r>
          </w:p>
        </w:tc>
        <w:tc>
          <w:tcPr>
            <w:tcW w:w="673" w:type="dxa"/>
            <w:shd w:val="clear" w:color="000000" w:fill="FFFFFF"/>
            <w:vAlign w:val="center"/>
            <w:hideMark/>
          </w:tcPr>
          <w:p w:rsidR="00151323" w:rsidRPr="00BB5AE4" w:rsidRDefault="00151323" w:rsidP="00BF439A">
            <w:pPr>
              <w:jc w:val="right"/>
              <w:rPr>
                <w:rFonts w:ascii="Calibri" w:hAnsi="Calibri" w:cs="Calibri"/>
                <w:sz w:val="22"/>
                <w:szCs w:val="22"/>
              </w:rPr>
            </w:pPr>
            <w:r w:rsidRPr="00BB5AE4">
              <w:rPr>
                <w:rFonts w:ascii="Calibri" w:hAnsi="Calibri" w:cs="Calibri"/>
                <w:sz w:val="22"/>
                <w:szCs w:val="22"/>
              </w:rPr>
              <w:t>‎ 15‎</w:t>
            </w:r>
          </w:p>
        </w:tc>
      </w:tr>
    </w:tbl>
    <w:p w:rsidR="001D55AB" w:rsidRDefault="001D55AB">
      <w:pPr>
        <w:rPr>
          <w:rFonts w:ascii="Arial" w:hAnsi="Arial" w:cs="Arial"/>
        </w:rPr>
      </w:pPr>
    </w:p>
    <w:p w:rsidR="001D55AB" w:rsidRDefault="001D55AB">
      <w:pPr>
        <w:rPr>
          <w:rFonts w:ascii="Arial" w:hAnsi="Arial" w:cs="Arial"/>
        </w:rPr>
      </w:pPr>
      <w:r w:rsidRPr="008B6BED">
        <w:rPr>
          <w:rFonts w:ascii="Arial" w:hAnsi="Arial" w:cs="Arial"/>
          <w:b/>
        </w:rPr>
        <w:t>FY</w:t>
      </w:r>
      <w:r>
        <w:rPr>
          <w:rFonts w:ascii="Arial" w:hAnsi="Arial" w:cs="Arial"/>
        </w:rPr>
        <w:t xml:space="preserve"> – Financial Year</w:t>
      </w:r>
    </w:p>
    <w:p w:rsidR="001D55AB" w:rsidRDefault="001D55AB">
      <w:pPr>
        <w:rPr>
          <w:rFonts w:ascii="Arial" w:hAnsi="Arial" w:cs="Arial"/>
        </w:rPr>
      </w:pPr>
      <w:r w:rsidRPr="008B6BED">
        <w:rPr>
          <w:rFonts w:ascii="Arial" w:hAnsi="Arial" w:cs="Arial"/>
          <w:b/>
        </w:rPr>
        <w:t>CY</w:t>
      </w:r>
      <w:r>
        <w:rPr>
          <w:rFonts w:ascii="Arial" w:hAnsi="Arial" w:cs="Arial"/>
        </w:rPr>
        <w:t xml:space="preserve"> – Calendar Year</w:t>
      </w:r>
    </w:p>
    <w:p w:rsidR="00075452" w:rsidRPr="000F64BD" w:rsidRDefault="001D55AB">
      <w:pPr>
        <w:rPr>
          <w:rFonts w:ascii="Arial" w:hAnsi="Arial" w:cs="Arial"/>
        </w:rPr>
      </w:pPr>
      <w:r w:rsidRPr="008B6BED">
        <w:rPr>
          <w:rFonts w:ascii="Arial" w:hAnsi="Arial" w:cs="Arial"/>
          <w:b/>
        </w:rPr>
        <w:t>AY</w:t>
      </w:r>
      <w:r>
        <w:rPr>
          <w:rFonts w:ascii="Arial" w:hAnsi="Arial" w:cs="Arial"/>
        </w:rPr>
        <w:t xml:space="preserve"> – Academic Year</w:t>
      </w:r>
      <w:r w:rsidR="00075452" w:rsidRPr="000F64BD">
        <w:rPr>
          <w:rFonts w:ascii="Arial" w:hAnsi="Arial" w:cs="Arial"/>
        </w:rPr>
        <w:br w:type="page"/>
      </w:r>
    </w:p>
    <w:p w:rsidR="00075452" w:rsidRPr="000F64BD" w:rsidRDefault="00075452" w:rsidP="00075452">
      <w:pPr>
        <w:rPr>
          <w:rFonts w:ascii="Arial" w:hAnsi="Arial" w:cs="Arial"/>
          <w:b/>
          <w:sz w:val="28"/>
          <w:szCs w:val="28"/>
        </w:rPr>
      </w:pPr>
    </w:p>
    <w:p w:rsidR="004C0BCE" w:rsidRPr="000F64BD" w:rsidRDefault="00534EFB" w:rsidP="005344B2">
      <w:pPr>
        <w:rPr>
          <w:rFonts w:ascii="Arial" w:hAnsi="Arial" w:cs="Arial"/>
          <w:b/>
          <w:sz w:val="28"/>
          <w:szCs w:val="28"/>
        </w:rPr>
      </w:pPr>
      <w:r w:rsidRPr="000F64BD">
        <w:rPr>
          <w:rFonts w:ascii="Arial" w:hAnsi="Arial" w:cs="Arial"/>
          <w:b/>
          <w:sz w:val="28"/>
          <w:szCs w:val="28"/>
        </w:rPr>
        <w:t>Appendix 3</w:t>
      </w:r>
    </w:p>
    <w:p w:rsidR="00534EFB" w:rsidRPr="000F64BD" w:rsidRDefault="00534EFB" w:rsidP="00534EFB">
      <w:pPr>
        <w:ind w:left="7200" w:firstLine="720"/>
        <w:rPr>
          <w:rFonts w:ascii="Arial" w:hAnsi="Arial" w:cs="Arial"/>
          <w:b/>
          <w:sz w:val="28"/>
          <w:szCs w:val="28"/>
        </w:rPr>
      </w:pPr>
    </w:p>
    <w:p w:rsidR="00534EFB" w:rsidRPr="000F64BD" w:rsidRDefault="00534EFB" w:rsidP="00534EFB">
      <w:pPr>
        <w:pStyle w:val="NoSpacing"/>
        <w:jc w:val="center"/>
        <w:rPr>
          <w:rFonts w:ascii="Arial" w:hAnsi="Arial" w:cs="Arial"/>
          <w:b/>
          <w:sz w:val="24"/>
          <w:szCs w:val="24"/>
        </w:rPr>
      </w:pPr>
      <w:r w:rsidRPr="000F64BD">
        <w:rPr>
          <w:rFonts w:ascii="Arial" w:hAnsi="Arial" w:cs="Arial"/>
          <w:b/>
          <w:sz w:val="24"/>
          <w:szCs w:val="24"/>
        </w:rPr>
        <w:t>SPI Framework</w:t>
      </w:r>
    </w:p>
    <w:p w:rsidR="00534EFB" w:rsidRPr="000F64BD" w:rsidRDefault="00534EFB" w:rsidP="00534EFB">
      <w:pPr>
        <w:pStyle w:val="NoSpacing"/>
        <w:jc w:val="center"/>
        <w:rPr>
          <w:rFonts w:ascii="Arial" w:hAnsi="Arial" w:cs="Arial"/>
          <w:b/>
          <w:sz w:val="24"/>
          <w:szCs w:val="24"/>
        </w:rPr>
      </w:pPr>
    </w:p>
    <w:p w:rsidR="00534EFB" w:rsidRPr="000F64BD" w:rsidRDefault="00534EFB" w:rsidP="00534EFB">
      <w:pPr>
        <w:pStyle w:val="NoSpacing"/>
        <w:rPr>
          <w:rFonts w:ascii="Arial" w:hAnsi="Arial" w:cs="Arial"/>
          <w:sz w:val="24"/>
          <w:szCs w:val="24"/>
        </w:rPr>
      </w:pPr>
      <w:r w:rsidRPr="000F64BD">
        <w:rPr>
          <w:rFonts w:ascii="Arial" w:hAnsi="Arial" w:cs="Arial"/>
          <w:sz w:val="24"/>
          <w:szCs w:val="24"/>
        </w:rPr>
        <w:t>There are now three sections to SPI returns as follows:</w:t>
      </w:r>
    </w:p>
    <w:p w:rsidR="00534EFB" w:rsidRPr="000F64BD" w:rsidRDefault="00534EFB" w:rsidP="00534EFB">
      <w:pPr>
        <w:pStyle w:val="NoSpacing"/>
        <w:rPr>
          <w:rFonts w:ascii="Arial" w:hAnsi="Arial" w:cs="Arial"/>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Corporate management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1</w:t>
      </w:r>
      <w:r w:rsidRPr="000F64BD">
        <w:rPr>
          <w:rFonts w:ascii="Arial" w:hAnsi="Arial" w:cs="Arial"/>
          <w:sz w:val="24"/>
          <w:szCs w:val="24"/>
        </w:rPr>
        <w:t xml:space="preserve">: Each council will report a range of information, sufficient to demonstrate that it is securing Best Value in relation to: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responsiveness to its communities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revenues and service costs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employees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assets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procurement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sustainable development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equalities and diversity. </w:t>
      </w:r>
    </w:p>
    <w:p w:rsidR="00534EFB" w:rsidRPr="000F64BD" w:rsidRDefault="00534EFB" w:rsidP="00534EFB">
      <w:pPr>
        <w:ind w:left="720"/>
        <w:jc w:val="both"/>
        <w:rPr>
          <w:rFonts w:ascii="Arial" w:hAnsi="Arial" w:cs="Arial"/>
          <w:b/>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Service performance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2</w:t>
      </w:r>
      <w:r w:rsidRPr="000F64BD">
        <w:rPr>
          <w:rFonts w:ascii="Arial" w:hAnsi="Arial" w:cs="Arial"/>
          <w:sz w:val="24"/>
          <w:szCs w:val="24"/>
        </w:rPr>
        <w:t>: (previously 25 Prescribed Indicators)</w:t>
      </w:r>
      <w:r w:rsidRPr="000F64BD">
        <w:rPr>
          <w:rStyle w:val="FootnoteReference"/>
          <w:rFonts w:ascii="Arial" w:hAnsi="Arial" w:cs="Arial"/>
          <w:sz w:val="24"/>
          <w:szCs w:val="24"/>
        </w:rPr>
        <w:footnoteReference w:id="1"/>
      </w:r>
      <w:r w:rsidRPr="000F64BD">
        <w:rPr>
          <w:rFonts w:ascii="Arial" w:hAnsi="Arial" w:cs="Arial"/>
          <w:sz w:val="24"/>
          <w:szCs w:val="24"/>
        </w:rPr>
        <w:t xml:space="preserve">. Each council will report a range of information sufficient to demonstrate that it is securing Best Value in providing the following services (in partnership with others where appropriate):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benefits administration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community care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criminal justice social work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cultural &amp; community services covering at least sport &amp; leisure, museums, the arts and libraries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planning (both environmental and development management)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the education of children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child protection and children’s social work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housing &amp; homelessness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protective services including environmental health, and trading standards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roads and lighting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waste management services </w:t>
      </w:r>
    </w:p>
    <w:p w:rsidR="00534EFB" w:rsidRPr="000F64BD" w:rsidRDefault="00534EFB" w:rsidP="00534EFB">
      <w:pPr>
        <w:ind w:firstLine="720"/>
        <w:jc w:val="both"/>
        <w:rPr>
          <w:rFonts w:ascii="Arial" w:hAnsi="Arial" w:cs="Arial"/>
          <w:b/>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SOLACE benchmarks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3</w:t>
      </w:r>
      <w:r w:rsidRPr="000F64BD">
        <w:rPr>
          <w:rFonts w:ascii="Arial" w:hAnsi="Arial" w:cs="Arial"/>
          <w:sz w:val="24"/>
          <w:szCs w:val="24"/>
        </w:rPr>
        <w:t>: Each council will report its performance in accordance with the requirements of the Society of Local Authority Chief Executive (SOLACE) benchmark project.</w:t>
      </w:r>
      <w:r w:rsidR="003B1FA4" w:rsidRPr="000F64BD">
        <w:rPr>
          <w:rFonts w:ascii="Arial" w:hAnsi="Arial" w:cs="Arial"/>
          <w:sz w:val="24"/>
          <w:szCs w:val="24"/>
        </w:rPr>
        <w:t xml:space="preserve"> This relates to the Local Government Benchmarking Framework (LGBF)</w:t>
      </w:r>
    </w:p>
    <w:p w:rsidR="00534EFB" w:rsidRPr="000F64BD" w:rsidRDefault="00534EFB" w:rsidP="00534EFB">
      <w:pPr>
        <w:rPr>
          <w:rFonts w:ascii="Arial" w:hAnsi="Arial" w:cs="Arial"/>
          <w:b/>
          <w:sz w:val="28"/>
          <w:szCs w:val="28"/>
        </w:rPr>
      </w:pPr>
    </w:p>
    <w:sectPr w:rsidR="00534EFB" w:rsidRPr="000F64BD" w:rsidSect="00DF1941">
      <w:footerReference w:type="first" r:id="rId11"/>
      <w:pgSz w:w="11906" w:h="16838"/>
      <w:pgMar w:top="709" w:right="1134" w:bottom="87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D0" w:rsidRDefault="002230D0">
      <w:r>
        <w:separator/>
      </w:r>
    </w:p>
  </w:endnote>
  <w:endnote w:type="continuationSeparator" w:id="0">
    <w:p w:rsidR="002230D0" w:rsidRDefault="0022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23" w:rsidRDefault="00151323" w:rsidP="008A7A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D0" w:rsidRDefault="002230D0">
      <w:r>
        <w:separator/>
      </w:r>
    </w:p>
  </w:footnote>
  <w:footnote w:type="continuationSeparator" w:id="0">
    <w:p w:rsidR="002230D0" w:rsidRDefault="002230D0">
      <w:r>
        <w:continuationSeparator/>
      </w:r>
    </w:p>
  </w:footnote>
  <w:footnote w:id="1">
    <w:p w:rsidR="00151323" w:rsidRPr="00697A3B" w:rsidRDefault="00151323" w:rsidP="00534EFB">
      <w:pPr>
        <w:pStyle w:val="FootnoteText"/>
        <w:rPr>
          <w:sz w:val="22"/>
          <w:szCs w:val="22"/>
        </w:rPr>
      </w:pPr>
      <w:r>
        <w:rPr>
          <w:rStyle w:val="FootnoteReference"/>
        </w:rPr>
        <w:footnoteRef/>
      </w:r>
      <w:r>
        <w:t xml:space="preserve"> </w:t>
      </w:r>
      <w:r w:rsidRPr="00697A3B">
        <w:rPr>
          <w:rFonts w:ascii="Arial" w:hAnsi="Arial" w:cs="Arial"/>
          <w:sz w:val="22"/>
          <w:szCs w:val="22"/>
        </w:rPr>
        <w:t>While Audit Scotland have removed the requirement of the 25 SPIs (SPi2) as outlined above there is still a requirement under ‘Service Performance’ to provide performance reporting on the same functions as previously prescribed by the fixed SPIs.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B9F"/>
    <w:multiLevelType w:val="hybridMultilevel"/>
    <w:tmpl w:val="B48C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66D78"/>
    <w:multiLevelType w:val="hybridMultilevel"/>
    <w:tmpl w:val="EA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16E5C"/>
    <w:multiLevelType w:val="hybridMultilevel"/>
    <w:tmpl w:val="20F000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C241161"/>
    <w:multiLevelType w:val="hybridMultilevel"/>
    <w:tmpl w:val="DFF6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B51872"/>
    <w:multiLevelType w:val="hybridMultilevel"/>
    <w:tmpl w:val="02C0C4B0"/>
    <w:lvl w:ilvl="0" w:tplc="5FEE8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C335B9"/>
    <w:multiLevelType w:val="hybridMultilevel"/>
    <w:tmpl w:val="24B2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F5FC5"/>
    <w:multiLevelType w:val="hybridMultilevel"/>
    <w:tmpl w:val="AFF0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2946DF"/>
    <w:multiLevelType w:val="hybridMultilevel"/>
    <w:tmpl w:val="2D52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FB2A11"/>
    <w:multiLevelType w:val="hybridMultilevel"/>
    <w:tmpl w:val="0DE2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0406D0"/>
    <w:multiLevelType w:val="hybridMultilevel"/>
    <w:tmpl w:val="0CD2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A54366"/>
    <w:multiLevelType w:val="hybridMultilevel"/>
    <w:tmpl w:val="B9B4A3D8"/>
    <w:lvl w:ilvl="0" w:tplc="08090017">
      <w:start w:val="1"/>
      <w:numFmt w:val="lowerLetter"/>
      <w:lvlText w:val="%1)"/>
      <w:lvlJc w:val="left"/>
      <w:pPr>
        <w:ind w:left="1436" w:hanging="432"/>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nsid w:val="532E41BF"/>
    <w:multiLevelType w:val="hybridMultilevel"/>
    <w:tmpl w:val="F49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D72068"/>
    <w:multiLevelType w:val="hybridMultilevel"/>
    <w:tmpl w:val="CBD6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E53FC2"/>
    <w:multiLevelType w:val="hybridMultilevel"/>
    <w:tmpl w:val="A1665C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05E443D"/>
    <w:multiLevelType w:val="hybridMultilevel"/>
    <w:tmpl w:val="1B7E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A367B0"/>
    <w:multiLevelType w:val="hybridMultilevel"/>
    <w:tmpl w:val="54E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B33668"/>
    <w:multiLevelType w:val="hybridMultilevel"/>
    <w:tmpl w:val="322046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9"/>
  </w:num>
  <w:num w:numId="3">
    <w:abstractNumId w:val="5"/>
  </w:num>
  <w:num w:numId="4">
    <w:abstractNumId w:val="16"/>
  </w:num>
  <w:num w:numId="5">
    <w:abstractNumId w:val="15"/>
  </w:num>
  <w:num w:numId="6">
    <w:abstractNumId w:val="0"/>
  </w:num>
  <w:num w:numId="7">
    <w:abstractNumId w:val="13"/>
  </w:num>
  <w:num w:numId="8">
    <w:abstractNumId w:val="10"/>
  </w:num>
  <w:num w:numId="9">
    <w:abstractNumId w:val="2"/>
  </w:num>
  <w:num w:numId="10">
    <w:abstractNumId w:val="4"/>
  </w:num>
  <w:num w:numId="11">
    <w:abstractNumId w:val="11"/>
  </w:num>
  <w:num w:numId="12">
    <w:abstractNumId w:val="12"/>
  </w:num>
  <w:num w:numId="13">
    <w:abstractNumId w:val="9"/>
  </w:num>
  <w:num w:numId="14">
    <w:abstractNumId w:val="7"/>
  </w:num>
  <w:num w:numId="15">
    <w:abstractNumId w:val="14"/>
  </w:num>
  <w:num w:numId="16">
    <w:abstractNumId w:val="6"/>
  </w:num>
  <w:num w:numId="17">
    <w:abstractNumId w:val="3"/>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9"/>
    <w:rsid w:val="000017F3"/>
    <w:rsid w:val="000022E3"/>
    <w:rsid w:val="00005A37"/>
    <w:rsid w:val="00006722"/>
    <w:rsid w:val="0001106A"/>
    <w:rsid w:val="000112EC"/>
    <w:rsid w:val="0001168B"/>
    <w:rsid w:val="000129D2"/>
    <w:rsid w:val="000139B1"/>
    <w:rsid w:val="0001444C"/>
    <w:rsid w:val="00014BF8"/>
    <w:rsid w:val="00017513"/>
    <w:rsid w:val="0002581D"/>
    <w:rsid w:val="0002628E"/>
    <w:rsid w:val="000271BB"/>
    <w:rsid w:val="000272ED"/>
    <w:rsid w:val="0002791D"/>
    <w:rsid w:val="0003619E"/>
    <w:rsid w:val="000371AF"/>
    <w:rsid w:val="00041282"/>
    <w:rsid w:val="00041A32"/>
    <w:rsid w:val="00043BC0"/>
    <w:rsid w:val="0004474D"/>
    <w:rsid w:val="00044CFD"/>
    <w:rsid w:val="00045862"/>
    <w:rsid w:val="00045FFD"/>
    <w:rsid w:val="000472CD"/>
    <w:rsid w:val="000473D8"/>
    <w:rsid w:val="00047D7A"/>
    <w:rsid w:val="00052427"/>
    <w:rsid w:val="000527A8"/>
    <w:rsid w:val="00053366"/>
    <w:rsid w:val="00054DB1"/>
    <w:rsid w:val="0005773E"/>
    <w:rsid w:val="00060B2B"/>
    <w:rsid w:val="00062B4A"/>
    <w:rsid w:val="00064E5E"/>
    <w:rsid w:val="00065A94"/>
    <w:rsid w:val="00067049"/>
    <w:rsid w:val="00067ECE"/>
    <w:rsid w:val="000723CD"/>
    <w:rsid w:val="00073730"/>
    <w:rsid w:val="00073777"/>
    <w:rsid w:val="00073FBB"/>
    <w:rsid w:val="00074593"/>
    <w:rsid w:val="00075452"/>
    <w:rsid w:val="00077FD6"/>
    <w:rsid w:val="00080E9F"/>
    <w:rsid w:val="00083727"/>
    <w:rsid w:val="00092010"/>
    <w:rsid w:val="00094888"/>
    <w:rsid w:val="00096D0C"/>
    <w:rsid w:val="000A0720"/>
    <w:rsid w:val="000A2019"/>
    <w:rsid w:val="000A32C5"/>
    <w:rsid w:val="000A4841"/>
    <w:rsid w:val="000A509D"/>
    <w:rsid w:val="000A62A3"/>
    <w:rsid w:val="000A760B"/>
    <w:rsid w:val="000B1B92"/>
    <w:rsid w:val="000B1D28"/>
    <w:rsid w:val="000B44A1"/>
    <w:rsid w:val="000C0B51"/>
    <w:rsid w:val="000C267A"/>
    <w:rsid w:val="000C26CC"/>
    <w:rsid w:val="000C320F"/>
    <w:rsid w:val="000C34C3"/>
    <w:rsid w:val="000C5664"/>
    <w:rsid w:val="000C6BA3"/>
    <w:rsid w:val="000C779D"/>
    <w:rsid w:val="000D0D45"/>
    <w:rsid w:val="000D1E04"/>
    <w:rsid w:val="000D4FE5"/>
    <w:rsid w:val="000E03FE"/>
    <w:rsid w:val="000E3E0B"/>
    <w:rsid w:val="000E7026"/>
    <w:rsid w:val="000E710F"/>
    <w:rsid w:val="000F0F1E"/>
    <w:rsid w:val="000F4EC5"/>
    <w:rsid w:val="000F64BD"/>
    <w:rsid w:val="00101117"/>
    <w:rsid w:val="00102342"/>
    <w:rsid w:val="001065CD"/>
    <w:rsid w:val="00107624"/>
    <w:rsid w:val="00111DA6"/>
    <w:rsid w:val="00112732"/>
    <w:rsid w:val="00112D96"/>
    <w:rsid w:val="00113E1F"/>
    <w:rsid w:val="00117738"/>
    <w:rsid w:val="001226DB"/>
    <w:rsid w:val="00124D69"/>
    <w:rsid w:val="00126625"/>
    <w:rsid w:val="00126AC3"/>
    <w:rsid w:val="001308EC"/>
    <w:rsid w:val="001324B6"/>
    <w:rsid w:val="00133409"/>
    <w:rsid w:val="0013499C"/>
    <w:rsid w:val="00141234"/>
    <w:rsid w:val="0014242F"/>
    <w:rsid w:val="00150933"/>
    <w:rsid w:val="0015125F"/>
    <w:rsid w:val="00151323"/>
    <w:rsid w:val="0015161E"/>
    <w:rsid w:val="00151D66"/>
    <w:rsid w:val="00153E1A"/>
    <w:rsid w:val="001631B0"/>
    <w:rsid w:val="001662DD"/>
    <w:rsid w:val="0016635E"/>
    <w:rsid w:val="00166F70"/>
    <w:rsid w:val="00170581"/>
    <w:rsid w:val="00172B42"/>
    <w:rsid w:val="00173F7E"/>
    <w:rsid w:val="00174704"/>
    <w:rsid w:val="001829BA"/>
    <w:rsid w:val="0018317C"/>
    <w:rsid w:val="00185A93"/>
    <w:rsid w:val="00186485"/>
    <w:rsid w:val="00187F1C"/>
    <w:rsid w:val="001903E6"/>
    <w:rsid w:val="00191791"/>
    <w:rsid w:val="0019341D"/>
    <w:rsid w:val="001936AF"/>
    <w:rsid w:val="00193936"/>
    <w:rsid w:val="001954E2"/>
    <w:rsid w:val="001A04F4"/>
    <w:rsid w:val="001A5ABB"/>
    <w:rsid w:val="001A78ED"/>
    <w:rsid w:val="001B1DD8"/>
    <w:rsid w:val="001B2E70"/>
    <w:rsid w:val="001C013A"/>
    <w:rsid w:val="001C0B58"/>
    <w:rsid w:val="001C103D"/>
    <w:rsid w:val="001C385D"/>
    <w:rsid w:val="001C7EDE"/>
    <w:rsid w:val="001D049C"/>
    <w:rsid w:val="001D3621"/>
    <w:rsid w:val="001D55AB"/>
    <w:rsid w:val="001E1172"/>
    <w:rsid w:val="001E5012"/>
    <w:rsid w:val="001E67F2"/>
    <w:rsid w:val="001F3521"/>
    <w:rsid w:val="001F5874"/>
    <w:rsid w:val="001F75D6"/>
    <w:rsid w:val="002027A8"/>
    <w:rsid w:val="00202CEC"/>
    <w:rsid w:val="00210868"/>
    <w:rsid w:val="00214176"/>
    <w:rsid w:val="00220913"/>
    <w:rsid w:val="00220DD1"/>
    <w:rsid w:val="0022175B"/>
    <w:rsid w:val="00222551"/>
    <w:rsid w:val="002230D0"/>
    <w:rsid w:val="002271DB"/>
    <w:rsid w:val="002312E9"/>
    <w:rsid w:val="00231ADF"/>
    <w:rsid w:val="002340E5"/>
    <w:rsid w:val="00234751"/>
    <w:rsid w:val="00236209"/>
    <w:rsid w:val="00236524"/>
    <w:rsid w:val="00237895"/>
    <w:rsid w:val="00237B59"/>
    <w:rsid w:val="0024241D"/>
    <w:rsid w:val="0024257A"/>
    <w:rsid w:val="002466F3"/>
    <w:rsid w:val="00246BEB"/>
    <w:rsid w:val="00246C76"/>
    <w:rsid w:val="00250EB2"/>
    <w:rsid w:val="00251642"/>
    <w:rsid w:val="00255FCC"/>
    <w:rsid w:val="00260088"/>
    <w:rsid w:val="00261C66"/>
    <w:rsid w:val="0026454B"/>
    <w:rsid w:val="002653D0"/>
    <w:rsid w:val="00265B46"/>
    <w:rsid w:val="00270930"/>
    <w:rsid w:val="002725CF"/>
    <w:rsid w:val="00275BF2"/>
    <w:rsid w:val="0028034E"/>
    <w:rsid w:val="00283DE4"/>
    <w:rsid w:val="002853A5"/>
    <w:rsid w:val="00285517"/>
    <w:rsid w:val="00290468"/>
    <w:rsid w:val="00292E84"/>
    <w:rsid w:val="002931FF"/>
    <w:rsid w:val="00296D83"/>
    <w:rsid w:val="002971E4"/>
    <w:rsid w:val="00297C18"/>
    <w:rsid w:val="002A1A46"/>
    <w:rsid w:val="002A3F89"/>
    <w:rsid w:val="002A46F7"/>
    <w:rsid w:val="002A5D7C"/>
    <w:rsid w:val="002B1657"/>
    <w:rsid w:val="002B5263"/>
    <w:rsid w:val="002B5641"/>
    <w:rsid w:val="002B636D"/>
    <w:rsid w:val="002B72EF"/>
    <w:rsid w:val="002C0FE0"/>
    <w:rsid w:val="002C1BE2"/>
    <w:rsid w:val="002C2CDF"/>
    <w:rsid w:val="002C31D9"/>
    <w:rsid w:val="002C3327"/>
    <w:rsid w:val="002C3E19"/>
    <w:rsid w:val="002C4EBF"/>
    <w:rsid w:val="002C5397"/>
    <w:rsid w:val="002C6066"/>
    <w:rsid w:val="002D02DF"/>
    <w:rsid w:val="002D0343"/>
    <w:rsid w:val="002D40FA"/>
    <w:rsid w:val="002D51E8"/>
    <w:rsid w:val="002D58BC"/>
    <w:rsid w:val="002E1BAF"/>
    <w:rsid w:val="002E1D30"/>
    <w:rsid w:val="002F3B97"/>
    <w:rsid w:val="002F7DE5"/>
    <w:rsid w:val="0030230E"/>
    <w:rsid w:val="0030291A"/>
    <w:rsid w:val="00302A89"/>
    <w:rsid w:val="00303D9A"/>
    <w:rsid w:val="00304663"/>
    <w:rsid w:val="003058E6"/>
    <w:rsid w:val="003118A5"/>
    <w:rsid w:val="00324A4D"/>
    <w:rsid w:val="003261DA"/>
    <w:rsid w:val="003269EC"/>
    <w:rsid w:val="003313E5"/>
    <w:rsid w:val="003320E0"/>
    <w:rsid w:val="003363E7"/>
    <w:rsid w:val="00336EA1"/>
    <w:rsid w:val="00340D54"/>
    <w:rsid w:val="00342426"/>
    <w:rsid w:val="003433EA"/>
    <w:rsid w:val="00343D8A"/>
    <w:rsid w:val="003446C7"/>
    <w:rsid w:val="003455D3"/>
    <w:rsid w:val="003502E6"/>
    <w:rsid w:val="00351DBB"/>
    <w:rsid w:val="003537F4"/>
    <w:rsid w:val="0035614D"/>
    <w:rsid w:val="00356766"/>
    <w:rsid w:val="003578E0"/>
    <w:rsid w:val="00360DC4"/>
    <w:rsid w:val="003625B7"/>
    <w:rsid w:val="0036286D"/>
    <w:rsid w:val="003632FE"/>
    <w:rsid w:val="003672A3"/>
    <w:rsid w:val="003714A6"/>
    <w:rsid w:val="00372D04"/>
    <w:rsid w:val="00373112"/>
    <w:rsid w:val="00374FA9"/>
    <w:rsid w:val="00380693"/>
    <w:rsid w:val="0038176B"/>
    <w:rsid w:val="00381965"/>
    <w:rsid w:val="00382B1B"/>
    <w:rsid w:val="00382CEB"/>
    <w:rsid w:val="00390E56"/>
    <w:rsid w:val="00394E1F"/>
    <w:rsid w:val="00395303"/>
    <w:rsid w:val="0039613A"/>
    <w:rsid w:val="003976E3"/>
    <w:rsid w:val="003A5D68"/>
    <w:rsid w:val="003B1349"/>
    <w:rsid w:val="003B1FA4"/>
    <w:rsid w:val="003B5929"/>
    <w:rsid w:val="003C2B39"/>
    <w:rsid w:val="003C4288"/>
    <w:rsid w:val="003C428D"/>
    <w:rsid w:val="003C5160"/>
    <w:rsid w:val="003C6EB2"/>
    <w:rsid w:val="003D2418"/>
    <w:rsid w:val="003D51F4"/>
    <w:rsid w:val="003E073B"/>
    <w:rsid w:val="003E44D9"/>
    <w:rsid w:val="003E5A44"/>
    <w:rsid w:val="003E5D70"/>
    <w:rsid w:val="003F66F0"/>
    <w:rsid w:val="004029FB"/>
    <w:rsid w:val="00402F0F"/>
    <w:rsid w:val="004049A8"/>
    <w:rsid w:val="004103B2"/>
    <w:rsid w:val="00413CB9"/>
    <w:rsid w:val="004150AA"/>
    <w:rsid w:val="004151CB"/>
    <w:rsid w:val="004169BF"/>
    <w:rsid w:val="00416FA5"/>
    <w:rsid w:val="004204B6"/>
    <w:rsid w:val="004211C8"/>
    <w:rsid w:val="00423290"/>
    <w:rsid w:val="00423942"/>
    <w:rsid w:val="00423C04"/>
    <w:rsid w:val="00424414"/>
    <w:rsid w:val="004245B1"/>
    <w:rsid w:val="00425FBD"/>
    <w:rsid w:val="0042682D"/>
    <w:rsid w:val="004279B4"/>
    <w:rsid w:val="0043001E"/>
    <w:rsid w:val="00433EC1"/>
    <w:rsid w:val="0043501F"/>
    <w:rsid w:val="0043679E"/>
    <w:rsid w:val="00437107"/>
    <w:rsid w:val="00440783"/>
    <w:rsid w:val="00440C14"/>
    <w:rsid w:val="00440D7D"/>
    <w:rsid w:val="00441357"/>
    <w:rsid w:val="00444438"/>
    <w:rsid w:val="004458AB"/>
    <w:rsid w:val="00446022"/>
    <w:rsid w:val="00447F1E"/>
    <w:rsid w:val="0045204C"/>
    <w:rsid w:val="004529F9"/>
    <w:rsid w:val="004557F6"/>
    <w:rsid w:val="00455B39"/>
    <w:rsid w:val="00464A4E"/>
    <w:rsid w:val="00464D40"/>
    <w:rsid w:val="00465B86"/>
    <w:rsid w:val="00465CCE"/>
    <w:rsid w:val="00476313"/>
    <w:rsid w:val="004764C6"/>
    <w:rsid w:val="0047728E"/>
    <w:rsid w:val="004805BD"/>
    <w:rsid w:val="004835FD"/>
    <w:rsid w:val="00486CA0"/>
    <w:rsid w:val="0048714F"/>
    <w:rsid w:val="004871B6"/>
    <w:rsid w:val="00492EDD"/>
    <w:rsid w:val="00492F06"/>
    <w:rsid w:val="00493861"/>
    <w:rsid w:val="00494550"/>
    <w:rsid w:val="0049486F"/>
    <w:rsid w:val="0049529D"/>
    <w:rsid w:val="00495CAC"/>
    <w:rsid w:val="00497CCF"/>
    <w:rsid w:val="004A031B"/>
    <w:rsid w:val="004A04A2"/>
    <w:rsid w:val="004A15C9"/>
    <w:rsid w:val="004A1F30"/>
    <w:rsid w:val="004A4FB6"/>
    <w:rsid w:val="004B00A4"/>
    <w:rsid w:val="004B104B"/>
    <w:rsid w:val="004B3391"/>
    <w:rsid w:val="004B3A35"/>
    <w:rsid w:val="004B3B23"/>
    <w:rsid w:val="004B5FB3"/>
    <w:rsid w:val="004C0BCE"/>
    <w:rsid w:val="004C0D47"/>
    <w:rsid w:val="004C28CD"/>
    <w:rsid w:val="004C5662"/>
    <w:rsid w:val="004C586B"/>
    <w:rsid w:val="004C5FD6"/>
    <w:rsid w:val="004C6933"/>
    <w:rsid w:val="004C71AA"/>
    <w:rsid w:val="004D0811"/>
    <w:rsid w:val="004D1466"/>
    <w:rsid w:val="004D2BF2"/>
    <w:rsid w:val="004D2DF6"/>
    <w:rsid w:val="004D6685"/>
    <w:rsid w:val="004D6CE4"/>
    <w:rsid w:val="004E0B11"/>
    <w:rsid w:val="004E14F0"/>
    <w:rsid w:val="004E3738"/>
    <w:rsid w:val="004E5847"/>
    <w:rsid w:val="004E6E18"/>
    <w:rsid w:val="004E7889"/>
    <w:rsid w:val="004F0868"/>
    <w:rsid w:val="004F1489"/>
    <w:rsid w:val="004F2B84"/>
    <w:rsid w:val="004F624E"/>
    <w:rsid w:val="0050141A"/>
    <w:rsid w:val="005014EE"/>
    <w:rsid w:val="00502CEC"/>
    <w:rsid w:val="0050651B"/>
    <w:rsid w:val="00506DDA"/>
    <w:rsid w:val="00507A57"/>
    <w:rsid w:val="00510BD0"/>
    <w:rsid w:val="00513764"/>
    <w:rsid w:val="005141DB"/>
    <w:rsid w:val="005175F2"/>
    <w:rsid w:val="0052039B"/>
    <w:rsid w:val="00521591"/>
    <w:rsid w:val="005235FB"/>
    <w:rsid w:val="00525066"/>
    <w:rsid w:val="00526551"/>
    <w:rsid w:val="00527BD9"/>
    <w:rsid w:val="00530A1B"/>
    <w:rsid w:val="005310FB"/>
    <w:rsid w:val="00531AD3"/>
    <w:rsid w:val="00532061"/>
    <w:rsid w:val="005344B2"/>
    <w:rsid w:val="00534EFB"/>
    <w:rsid w:val="00535278"/>
    <w:rsid w:val="00536052"/>
    <w:rsid w:val="005417CE"/>
    <w:rsid w:val="00545739"/>
    <w:rsid w:val="005473E1"/>
    <w:rsid w:val="00550FB0"/>
    <w:rsid w:val="00551133"/>
    <w:rsid w:val="0055408C"/>
    <w:rsid w:val="00555532"/>
    <w:rsid w:val="005570FA"/>
    <w:rsid w:val="00557A95"/>
    <w:rsid w:val="005606CF"/>
    <w:rsid w:val="005618DC"/>
    <w:rsid w:val="00561F73"/>
    <w:rsid w:val="00566675"/>
    <w:rsid w:val="00566C00"/>
    <w:rsid w:val="005729D9"/>
    <w:rsid w:val="00572AA3"/>
    <w:rsid w:val="00572FB8"/>
    <w:rsid w:val="00575A37"/>
    <w:rsid w:val="0057677B"/>
    <w:rsid w:val="00577966"/>
    <w:rsid w:val="005813CF"/>
    <w:rsid w:val="00583D40"/>
    <w:rsid w:val="00591BAE"/>
    <w:rsid w:val="00591C3F"/>
    <w:rsid w:val="00592B18"/>
    <w:rsid w:val="0059328F"/>
    <w:rsid w:val="0059601D"/>
    <w:rsid w:val="00597AE5"/>
    <w:rsid w:val="005A2D15"/>
    <w:rsid w:val="005A2ED7"/>
    <w:rsid w:val="005A360F"/>
    <w:rsid w:val="005A39C2"/>
    <w:rsid w:val="005A6B23"/>
    <w:rsid w:val="005B2796"/>
    <w:rsid w:val="005B3740"/>
    <w:rsid w:val="005B4327"/>
    <w:rsid w:val="005B5F09"/>
    <w:rsid w:val="005C30A2"/>
    <w:rsid w:val="005C583A"/>
    <w:rsid w:val="005C7BD2"/>
    <w:rsid w:val="005D1EEC"/>
    <w:rsid w:val="005D1F92"/>
    <w:rsid w:val="005D2766"/>
    <w:rsid w:val="005D40C6"/>
    <w:rsid w:val="005D51CB"/>
    <w:rsid w:val="005E342E"/>
    <w:rsid w:val="005E426F"/>
    <w:rsid w:val="005E4292"/>
    <w:rsid w:val="005E53A0"/>
    <w:rsid w:val="005E53CE"/>
    <w:rsid w:val="005F383D"/>
    <w:rsid w:val="005F553E"/>
    <w:rsid w:val="005F5C47"/>
    <w:rsid w:val="0060353F"/>
    <w:rsid w:val="00610E63"/>
    <w:rsid w:val="006126AF"/>
    <w:rsid w:val="00614D41"/>
    <w:rsid w:val="00617267"/>
    <w:rsid w:val="006176F8"/>
    <w:rsid w:val="00624385"/>
    <w:rsid w:val="00627B34"/>
    <w:rsid w:val="00627F99"/>
    <w:rsid w:val="00641050"/>
    <w:rsid w:val="00642911"/>
    <w:rsid w:val="00643830"/>
    <w:rsid w:val="00644613"/>
    <w:rsid w:val="00646F07"/>
    <w:rsid w:val="0065290A"/>
    <w:rsid w:val="006564EF"/>
    <w:rsid w:val="006620D6"/>
    <w:rsid w:val="00670C24"/>
    <w:rsid w:val="0067160E"/>
    <w:rsid w:val="006724E3"/>
    <w:rsid w:val="006726FA"/>
    <w:rsid w:val="00672BE2"/>
    <w:rsid w:val="00672C12"/>
    <w:rsid w:val="00673DF9"/>
    <w:rsid w:val="00676321"/>
    <w:rsid w:val="0067711E"/>
    <w:rsid w:val="0068099A"/>
    <w:rsid w:val="006835D5"/>
    <w:rsid w:val="00683BA7"/>
    <w:rsid w:val="0068462E"/>
    <w:rsid w:val="00686926"/>
    <w:rsid w:val="00687B28"/>
    <w:rsid w:val="0069011B"/>
    <w:rsid w:val="00694B24"/>
    <w:rsid w:val="0069613E"/>
    <w:rsid w:val="006970F5"/>
    <w:rsid w:val="006A17AF"/>
    <w:rsid w:val="006A5AA1"/>
    <w:rsid w:val="006B42D5"/>
    <w:rsid w:val="006B4A14"/>
    <w:rsid w:val="006B5D15"/>
    <w:rsid w:val="006C184D"/>
    <w:rsid w:val="006C47D5"/>
    <w:rsid w:val="006C5ADE"/>
    <w:rsid w:val="006D0929"/>
    <w:rsid w:val="006D1A4D"/>
    <w:rsid w:val="006D23A3"/>
    <w:rsid w:val="006D2884"/>
    <w:rsid w:val="006D2FB3"/>
    <w:rsid w:val="006D39EC"/>
    <w:rsid w:val="006D4A06"/>
    <w:rsid w:val="006D5114"/>
    <w:rsid w:val="006E049C"/>
    <w:rsid w:val="006E2916"/>
    <w:rsid w:val="006E521E"/>
    <w:rsid w:val="006E5BD8"/>
    <w:rsid w:val="006F05CF"/>
    <w:rsid w:val="006F1BFC"/>
    <w:rsid w:val="006F3582"/>
    <w:rsid w:val="00700FD2"/>
    <w:rsid w:val="00701EED"/>
    <w:rsid w:val="00702A2C"/>
    <w:rsid w:val="0070432A"/>
    <w:rsid w:val="00704BBD"/>
    <w:rsid w:val="00705514"/>
    <w:rsid w:val="0070729B"/>
    <w:rsid w:val="007131B8"/>
    <w:rsid w:val="0071352E"/>
    <w:rsid w:val="007201DC"/>
    <w:rsid w:val="00720E8A"/>
    <w:rsid w:val="00721BF6"/>
    <w:rsid w:val="00722123"/>
    <w:rsid w:val="00723747"/>
    <w:rsid w:val="007312B3"/>
    <w:rsid w:val="00734C36"/>
    <w:rsid w:val="00736038"/>
    <w:rsid w:val="007401CA"/>
    <w:rsid w:val="007411E7"/>
    <w:rsid w:val="00741B18"/>
    <w:rsid w:val="00746344"/>
    <w:rsid w:val="00750FDD"/>
    <w:rsid w:val="00751974"/>
    <w:rsid w:val="007549F9"/>
    <w:rsid w:val="00756246"/>
    <w:rsid w:val="00763194"/>
    <w:rsid w:val="00763518"/>
    <w:rsid w:val="00764E79"/>
    <w:rsid w:val="00765157"/>
    <w:rsid w:val="007727C1"/>
    <w:rsid w:val="007751FA"/>
    <w:rsid w:val="00776B03"/>
    <w:rsid w:val="00782A3A"/>
    <w:rsid w:val="00782EA3"/>
    <w:rsid w:val="00784630"/>
    <w:rsid w:val="0078506A"/>
    <w:rsid w:val="00790BAC"/>
    <w:rsid w:val="0079171B"/>
    <w:rsid w:val="00792F1F"/>
    <w:rsid w:val="0079456E"/>
    <w:rsid w:val="007A075D"/>
    <w:rsid w:val="007A51A3"/>
    <w:rsid w:val="007B06B2"/>
    <w:rsid w:val="007B26F4"/>
    <w:rsid w:val="007B2942"/>
    <w:rsid w:val="007B2D49"/>
    <w:rsid w:val="007B2D61"/>
    <w:rsid w:val="007B32D2"/>
    <w:rsid w:val="007B3A24"/>
    <w:rsid w:val="007B6C1A"/>
    <w:rsid w:val="007C2623"/>
    <w:rsid w:val="007C285B"/>
    <w:rsid w:val="007C3410"/>
    <w:rsid w:val="007C6531"/>
    <w:rsid w:val="007C6623"/>
    <w:rsid w:val="007D03F3"/>
    <w:rsid w:val="007D0C94"/>
    <w:rsid w:val="007D1EB3"/>
    <w:rsid w:val="007D37ED"/>
    <w:rsid w:val="007D4BC2"/>
    <w:rsid w:val="007D7FEC"/>
    <w:rsid w:val="007E201B"/>
    <w:rsid w:val="007E2358"/>
    <w:rsid w:val="007E2927"/>
    <w:rsid w:val="007F0468"/>
    <w:rsid w:val="007F129C"/>
    <w:rsid w:val="007F4F65"/>
    <w:rsid w:val="007F7019"/>
    <w:rsid w:val="007F70A1"/>
    <w:rsid w:val="007F7B30"/>
    <w:rsid w:val="00800D64"/>
    <w:rsid w:val="00801214"/>
    <w:rsid w:val="00806D51"/>
    <w:rsid w:val="00807479"/>
    <w:rsid w:val="00811A65"/>
    <w:rsid w:val="0081336D"/>
    <w:rsid w:val="00820576"/>
    <w:rsid w:val="00830147"/>
    <w:rsid w:val="00830228"/>
    <w:rsid w:val="00832278"/>
    <w:rsid w:val="00834E14"/>
    <w:rsid w:val="008426EB"/>
    <w:rsid w:val="0084419A"/>
    <w:rsid w:val="00844A42"/>
    <w:rsid w:val="00854EB1"/>
    <w:rsid w:val="008570C2"/>
    <w:rsid w:val="0086274E"/>
    <w:rsid w:val="0086295B"/>
    <w:rsid w:val="008675BA"/>
    <w:rsid w:val="0087121C"/>
    <w:rsid w:val="008713A0"/>
    <w:rsid w:val="0087386D"/>
    <w:rsid w:val="0087449B"/>
    <w:rsid w:val="0087572C"/>
    <w:rsid w:val="00881446"/>
    <w:rsid w:val="008817DE"/>
    <w:rsid w:val="00882060"/>
    <w:rsid w:val="00886404"/>
    <w:rsid w:val="00886C5E"/>
    <w:rsid w:val="00887ADF"/>
    <w:rsid w:val="008959AD"/>
    <w:rsid w:val="00895F3D"/>
    <w:rsid w:val="00897118"/>
    <w:rsid w:val="008A0793"/>
    <w:rsid w:val="008A567B"/>
    <w:rsid w:val="008A655F"/>
    <w:rsid w:val="008A7AE6"/>
    <w:rsid w:val="008A7EAA"/>
    <w:rsid w:val="008B0439"/>
    <w:rsid w:val="008B043F"/>
    <w:rsid w:val="008B1EAB"/>
    <w:rsid w:val="008B2484"/>
    <w:rsid w:val="008B2F18"/>
    <w:rsid w:val="008B3FCB"/>
    <w:rsid w:val="008B4F22"/>
    <w:rsid w:val="008B4FCA"/>
    <w:rsid w:val="008B6BED"/>
    <w:rsid w:val="008C1736"/>
    <w:rsid w:val="008C2512"/>
    <w:rsid w:val="008C4868"/>
    <w:rsid w:val="008C5637"/>
    <w:rsid w:val="008C58BD"/>
    <w:rsid w:val="008C671F"/>
    <w:rsid w:val="008D352B"/>
    <w:rsid w:val="008D3CDC"/>
    <w:rsid w:val="008D7F34"/>
    <w:rsid w:val="008E3082"/>
    <w:rsid w:val="008E467A"/>
    <w:rsid w:val="008E51F2"/>
    <w:rsid w:val="008E520E"/>
    <w:rsid w:val="008F11F7"/>
    <w:rsid w:val="008F1C89"/>
    <w:rsid w:val="008F2570"/>
    <w:rsid w:val="008F3C0E"/>
    <w:rsid w:val="008F3FDF"/>
    <w:rsid w:val="008F5011"/>
    <w:rsid w:val="008F6FE5"/>
    <w:rsid w:val="008F777B"/>
    <w:rsid w:val="009015C5"/>
    <w:rsid w:val="00903514"/>
    <w:rsid w:val="0090403D"/>
    <w:rsid w:val="009117A5"/>
    <w:rsid w:val="0091274D"/>
    <w:rsid w:val="00925548"/>
    <w:rsid w:val="00925B19"/>
    <w:rsid w:val="00926981"/>
    <w:rsid w:val="0093326A"/>
    <w:rsid w:val="00933849"/>
    <w:rsid w:val="009344FE"/>
    <w:rsid w:val="00941375"/>
    <w:rsid w:val="009432B9"/>
    <w:rsid w:val="0094379C"/>
    <w:rsid w:val="009448BC"/>
    <w:rsid w:val="00947A4D"/>
    <w:rsid w:val="00951098"/>
    <w:rsid w:val="00951888"/>
    <w:rsid w:val="0095290D"/>
    <w:rsid w:val="00954CD6"/>
    <w:rsid w:val="00955CD4"/>
    <w:rsid w:val="00956552"/>
    <w:rsid w:val="0095729C"/>
    <w:rsid w:val="0096135C"/>
    <w:rsid w:val="00963DB7"/>
    <w:rsid w:val="009716E1"/>
    <w:rsid w:val="00974A41"/>
    <w:rsid w:val="00974C57"/>
    <w:rsid w:val="00976616"/>
    <w:rsid w:val="00982035"/>
    <w:rsid w:val="009834A2"/>
    <w:rsid w:val="0098491E"/>
    <w:rsid w:val="009864EB"/>
    <w:rsid w:val="00986713"/>
    <w:rsid w:val="00986BF0"/>
    <w:rsid w:val="0099046C"/>
    <w:rsid w:val="00992B83"/>
    <w:rsid w:val="00995F59"/>
    <w:rsid w:val="009972DF"/>
    <w:rsid w:val="00997D25"/>
    <w:rsid w:val="009A162D"/>
    <w:rsid w:val="009A1EEE"/>
    <w:rsid w:val="009A3C6D"/>
    <w:rsid w:val="009A3C76"/>
    <w:rsid w:val="009A530C"/>
    <w:rsid w:val="009B1F10"/>
    <w:rsid w:val="009B2E06"/>
    <w:rsid w:val="009B3AFC"/>
    <w:rsid w:val="009B3FEA"/>
    <w:rsid w:val="009B40C1"/>
    <w:rsid w:val="009B41ED"/>
    <w:rsid w:val="009B55E8"/>
    <w:rsid w:val="009B5841"/>
    <w:rsid w:val="009B5CDE"/>
    <w:rsid w:val="009B6E5A"/>
    <w:rsid w:val="009B7956"/>
    <w:rsid w:val="009C26DF"/>
    <w:rsid w:val="009C27AC"/>
    <w:rsid w:val="009C797D"/>
    <w:rsid w:val="009D1E54"/>
    <w:rsid w:val="009D2343"/>
    <w:rsid w:val="009D288D"/>
    <w:rsid w:val="009D2965"/>
    <w:rsid w:val="009D34E8"/>
    <w:rsid w:val="009E3266"/>
    <w:rsid w:val="009E4A4B"/>
    <w:rsid w:val="009E7094"/>
    <w:rsid w:val="009F00A7"/>
    <w:rsid w:val="009F0973"/>
    <w:rsid w:val="009F12DE"/>
    <w:rsid w:val="009F3FC8"/>
    <w:rsid w:val="009F4232"/>
    <w:rsid w:val="009F4744"/>
    <w:rsid w:val="00A0116F"/>
    <w:rsid w:val="00A0174C"/>
    <w:rsid w:val="00A02604"/>
    <w:rsid w:val="00A03AE6"/>
    <w:rsid w:val="00A11060"/>
    <w:rsid w:val="00A14CC2"/>
    <w:rsid w:val="00A14E07"/>
    <w:rsid w:val="00A15B8E"/>
    <w:rsid w:val="00A2094E"/>
    <w:rsid w:val="00A209F6"/>
    <w:rsid w:val="00A233B1"/>
    <w:rsid w:val="00A26C09"/>
    <w:rsid w:val="00A27939"/>
    <w:rsid w:val="00A314AB"/>
    <w:rsid w:val="00A345B7"/>
    <w:rsid w:val="00A34666"/>
    <w:rsid w:val="00A35728"/>
    <w:rsid w:val="00A418B1"/>
    <w:rsid w:val="00A44DEF"/>
    <w:rsid w:val="00A47BD3"/>
    <w:rsid w:val="00A511B3"/>
    <w:rsid w:val="00A512BE"/>
    <w:rsid w:val="00A5246B"/>
    <w:rsid w:val="00A52E56"/>
    <w:rsid w:val="00A53EF1"/>
    <w:rsid w:val="00A60F91"/>
    <w:rsid w:val="00A61477"/>
    <w:rsid w:val="00A61BFC"/>
    <w:rsid w:val="00A63691"/>
    <w:rsid w:val="00A64831"/>
    <w:rsid w:val="00A66D29"/>
    <w:rsid w:val="00A70355"/>
    <w:rsid w:val="00A722C8"/>
    <w:rsid w:val="00A7483F"/>
    <w:rsid w:val="00A74FE6"/>
    <w:rsid w:val="00A754D7"/>
    <w:rsid w:val="00A76B23"/>
    <w:rsid w:val="00A811AB"/>
    <w:rsid w:val="00A81D6D"/>
    <w:rsid w:val="00A8287E"/>
    <w:rsid w:val="00A840DC"/>
    <w:rsid w:val="00A86493"/>
    <w:rsid w:val="00A865E6"/>
    <w:rsid w:val="00A938BA"/>
    <w:rsid w:val="00A93B38"/>
    <w:rsid w:val="00A953A7"/>
    <w:rsid w:val="00A95A35"/>
    <w:rsid w:val="00A95B9F"/>
    <w:rsid w:val="00A95CFA"/>
    <w:rsid w:val="00AA00C9"/>
    <w:rsid w:val="00AA0548"/>
    <w:rsid w:val="00AA3338"/>
    <w:rsid w:val="00AA450E"/>
    <w:rsid w:val="00AA7F6B"/>
    <w:rsid w:val="00AB7384"/>
    <w:rsid w:val="00AB7B1E"/>
    <w:rsid w:val="00AC1390"/>
    <w:rsid w:val="00AC3181"/>
    <w:rsid w:val="00AC41B9"/>
    <w:rsid w:val="00AC4A5F"/>
    <w:rsid w:val="00AC679E"/>
    <w:rsid w:val="00AD4332"/>
    <w:rsid w:val="00AD53BD"/>
    <w:rsid w:val="00AD54CF"/>
    <w:rsid w:val="00AD5F21"/>
    <w:rsid w:val="00AE0C9E"/>
    <w:rsid w:val="00AE2AD2"/>
    <w:rsid w:val="00AE2DB7"/>
    <w:rsid w:val="00AF00F1"/>
    <w:rsid w:val="00AF554A"/>
    <w:rsid w:val="00B00A51"/>
    <w:rsid w:val="00B00C80"/>
    <w:rsid w:val="00B03F2D"/>
    <w:rsid w:val="00B05CF5"/>
    <w:rsid w:val="00B06FDB"/>
    <w:rsid w:val="00B10FC3"/>
    <w:rsid w:val="00B12609"/>
    <w:rsid w:val="00B13309"/>
    <w:rsid w:val="00B155D6"/>
    <w:rsid w:val="00B161A5"/>
    <w:rsid w:val="00B179D1"/>
    <w:rsid w:val="00B20811"/>
    <w:rsid w:val="00B234B7"/>
    <w:rsid w:val="00B23721"/>
    <w:rsid w:val="00B26275"/>
    <w:rsid w:val="00B26BF0"/>
    <w:rsid w:val="00B27720"/>
    <w:rsid w:val="00B27A68"/>
    <w:rsid w:val="00B30829"/>
    <w:rsid w:val="00B3099D"/>
    <w:rsid w:val="00B3152D"/>
    <w:rsid w:val="00B319CF"/>
    <w:rsid w:val="00B33804"/>
    <w:rsid w:val="00B346A7"/>
    <w:rsid w:val="00B349B3"/>
    <w:rsid w:val="00B3586E"/>
    <w:rsid w:val="00B36E15"/>
    <w:rsid w:val="00B37C49"/>
    <w:rsid w:val="00B40604"/>
    <w:rsid w:val="00B40847"/>
    <w:rsid w:val="00B408A4"/>
    <w:rsid w:val="00B4100B"/>
    <w:rsid w:val="00B44CC8"/>
    <w:rsid w:val="00B504FF"/>
    <w:rsid w:val="00B50731"/>
    <w:rsid w:val="00B522E2"/>
    <w:rsid w:val="00B6050F"/>
    <w:rsid w:val="00B611C2"/>
    <w:rsid w:val="00B6203C"/>
    <w:rsid w:val="00B6452E"/>
    <w:rsid w:val="00B64E11"/>
    <w:rsid w:val="00B65755"/>
    <w:rsid w:val="00B65DBD"/>
    <w:rsid w:val="00B67BF9"/>
    <w:rsid w:val="00B71669"/>
    <w:rsid w:val="00B74705"/>
    <w:rsid w:val="00B756DC"/>
    <w:rsid w:val="00B7606C"/>
    <w:rsid w:val="00B77111"/>
    <w:rsid w:val="00B8165A"/>
    <w:rsid w:val="00B8316F"/>
    <w:rsid w:val="00B845F6"/>
    <w:rsid w:val="00B918DE"/>
    <w:rsid w:val="00B92874"/>
    <w:rsid w:val="00B94538"/>
    <w:rsid w:val="00BA21AA"/>
    <w:rsid w:val="00BA48F3"/>
    <w:rsid w:val="00BA4BCA"/>
    <w:rsid w:val="00BA6B91"/>
    <w:rsid w:val="00BA7A33"/>
    <w:rsid w:val="00BB0261"/>
    <w:rsid w:val="00BB0296"/>
    <w:rsid w:val="00BB0ABA"/>
    <w:rsid w:val="00BB1261"/>
    <w:rsid w:val="00BB15E7"/>
    <w:rsid w:val="00BB1AE9"/>
    <w:rsid w:val="00BB49BD"/>
    <w:rsid w:val="00BB4AE2"/>
    <w:rsid w:val="00BB5AE4"/>
    <w:rsid w:val="00BC026D"/>
    <w:rsid w:val="00BC335A"/>
    <w:rsid w:val="00BC397B"/>
    <w:rsid w:val="00BC635A"/>
    <w:rsid w:val="00BC7328"/>
    <w:rsid w:val="00BD0863"/>
    <w:rsid w:val="00BD0C62"/>
    <w:rsid w:val="00BD3364"/>
    <w:rsid w:val="00BD4E03"/>
    <w:rsid w:val="00BD787C"/>
    <w:rsid w:val="00BD79CA"/>
    <w:rsid w:val="00BD7E00"/>
    <w:rsid w:val="00BE10C2"/>
    <w:rsid w:val="00BE132D"/>
    <w:rsid w:val="00BE7678"/>
    <w:rsid w:val="00BF0602"/>
    <w:rsid w:val="00BF1C62"/>
    <w:rsid w:val="00BF439A"/>
    <w:rsid w:val="00BF5880"/>
    <w:rsid w:val="00BF787C"/>
    <w:rsid w:val="00C030D6"/>
    <w:rsid w:val="00C04632"/>
    <w:rsid w:val="00C058AA"/>
    <w:rsid w:val="00C06C51"/>
    <w:rsid w:val="00C070BD"/>
    <w:rsid w:val="00C10578"/>
    <w:rsid w:val="00C11642"/>
    <w:rsid w:val="00C12E6F"/>
    <w:rsid w:val="00C16059"/>
    <w:rsid w:val="00C20AAA"/>
    <w:rsid w:val="00C216E4"/>
    <w:rsid w:val="00C22E61"/>
    <w:rsid w:val="00C2495E"/>
    <w:rsid w:val="00C24D44"/>
    <w:rsid w:val="00C26B79"/>
    <w:rsid w:val="00C26C86"/>
    <w:rsid w:val="00C26D9F"/>
    <w:rsid w:val="00C33512"/>
    <w:rsid w:val="00C3694B"/>
    <w:rsid w:val="00C42935"/>
    <w:rsid w:val="00C454E4"/>
    <w:rsid w:val="00C46CA0"/>
    <w:rsid w:val="00C51BF7"/>
    <w:rsid w:val="00C556A0"/>
    <w:rsid w:val="00C55CFC"/>
    <w:rsid w:val="00C56243"/>
    <w:rsid w:val="00C569B6"/>
    <w:rsid w:val="00C62FD2"/>
    <w:rsid w:val="00C643D9"/>
    <w:rsid w:val="00C64FCD"/>
    <w:rsid w:val="00C65B0E"/>
    <w:rsid w:val="00C6631D"/>
    <w:rsid w:val="00C67EBD"/>
    <w:rsid w:val="00C7029F"/>
    <w:rsid w:val="00C7350C"/>
    <w:rsid w:val="00C73964"/>
    <w:rsid w:val="00C7453E"/>
    <w:rsid w:val="00C76468"/>
    <w:rsid w:val="00C77D32"/>
    <w:rsid w:val="00C807AB"/>
    <w:rsid w:val="00C81AF9"/>
    <w:rsid w:val="00C823A8"/>
    <w:rsid w:val="00C837D0"/>
    <w:rsid w:val="00C85710"/>
    <w:rsid w:val="00C85BA5"/>
    <w:rsid w:val="00C87752"/>
    <w:rsid w:val="00C91454"/>
    <w:rsid w:val="00C91FE0"/>
    <w:rsid w:val="00C93F41"/>
    <w:rsid w:val="00CA16FE"/>
    <w:rsid w:val="00CA2263"/>
    <w:rsid w:val="00CA3722"/>
    <w:rsid w:val="00CA611E"/>
    <w:rsid w:val="00CA65BC"/>
    <w:rsid w:val="00CA6801"/>
    <w:rsid w:val="00CB0B1E"/>
    <w:rsid w:val="00CB1F2F"/>
    <w:rsid w:val="00CB2827"/>
    <w:rsid w:val="00CB380C"/>
    <w:rsid w:val="00CB48F2"/>
    <w:rsid w:val="00CB5CC1"/>
    <w:rsid w:val="00CC0A49"/>
    <w:rsid w:val="00CC3C56"/>
    <w:rsid w:val="00CC4919"/>
    <w:rsid w:val="00CC6832"/>
    <w:rsid w:val="00CC7D15"/>
    <w:rsid w:val="00CD1979"/>
    <w:rsid w:val="00CD2E2E"/>
    <w:rsid w:val="00CD40B3"/>
    <w:rsid w:val="00CD40BE"/>
    <w:rsid w:val="00CF0492"/>
    <w:rsid w:val="00CF60E0"/>
    <w:rsid w:val="00CF783B"/>
    <w:rsid w:val="00D04F21"/>
    <w:rsid w:val="00D10F07"/>
    <w:rsid w:val="00D13C02"/>
    <w:rsid w:val="00D163A4"/>
    <w:rsid w:val="00D167C9"/>
    <w:rsid w:val="00D1688F"/>
    <w:rsid w:val="00D2402A"/>
    <w:rsid w:val="00D24D70"/>
    <w:rsid w:val="00D25D1D"/>
    <w:rsid w:val="00D2672F"/>
    <w:rsid w:val="00D2786D"/>
    <w:rsid w:val="00D32436"/>
    <w:rsid w:val="00D36B85"/>
    <w:rsid w:val="00D408A8"/>
    <w:rsid w:val="00D4207F"/>
    <w:rsid w:val="00D44BB7"/>
    <w:rsid w:val="00D44CD8"/>
    <w:rsid w:val="00D45F89"/>
    <w:rsid w:val="00D4675E"/>
    <w:rsid w:val="00D46DA6"/>
    <w:rsid w:val="00D47DC4"/>
    <w:rsid w:val="00D52FF3"/>
    <w:rsid w:val="00D53470"/>
    <w:rsid w:val="00D53A26"/>
    <w:rsid w:val="00D545B0"/>
    <w:rsid w:val="00D57EA4"/>
    <w:rsid w:val="00D602B5"/>
    <w:rsid w:val="00D60AC8"/>
    <w:rsid w:val="00D63C44"/>
    <w:rsid w:val="00D63CA4"/>
    <w:rsid w:val="00D718B1"/>
    <w:rsid w:val="00D71B5B"/>
    <w:rsid w:val="00D73BBF"/>
    <w:rsid w:val="00D77930"/>
    <w:rsid w:val="00D83796"/>
    <w:rsid w:val="00D87F29"/>
    <w:rsid w:val="00D9068E"/>
    <w:rsid w:val="00D90AD5"/>
    <w:rsid w:val="00D90E6C"/>
    <w:rsid w:val="00D9254C"/>
    <w:rsid w:val="00D93836"/>
    <w:rsid w:val="00D96312"/>
    <w:rsid w:val="00DA4021"/>
    <w:rsid w:val="00DA7F5D"/>
    <w:rsid w:val="00DB0E24"/>
    <w:rsid w:val="00DB0F54"/>
    <w:rsid w:val="00DC1238"/>
    <w:rsid w:val="00DC2767"/>
    <w:rsid w:val="00DC3F1A"/>
    <w:rsid w:val="00DD08E5"/>
    <w:rsid w:val="00DD2F8B"/>
    <w:rsid w:val="00DD4BA0"/>
    <w:rsid w:val="00DD682C"/>
    <w:rsid w:val="00DE0B7D"/>
    <w:rsid w:val="00DE450F"/>
    <w:rsid w:val="00DE743E"/>
    <w:rsid w:val="00DF1941"/>
    <w:rsid w:val="00DF2447"/>
    <w:rsid w:val="00DF3B11"/>
    <w:rsid w:val="00E00A18"/>
    <w:rsid w:val="00E016FA"/>
    <w:rsid w:val="00E03673"/>
    <w:rsid w:val="00E05CE6"/>
    <w:rsid w:val="00E05FFD"/>
    <w:rsid w:val="00E06A45"/>
    <w:rsid w:val="00E1244F"/>
    <w:rsid w:val="00E13245"/>
    <w:rsid w:val="00E15A28"/>
    <w:rsid w:val="00E17553"/>
    <w:rsid w:val="00E17804"/>
    <w:rsid w:val="00E22524"/>
    <w:rsid w:val="00E230CC"/>
    <w:rsid w:val="00E2480C"/>
    <w:rsid w:val="00E25C98"/>
    <w:rsid w:val="00E31D62"/>
    <w:rsid w:val="00E35C05"/>
    <w:rsid w:val="00E37CDD"/>
    <w:rsid w:val="00E40CE1"/>
    <w:rsid w:val="00E40DE9"/>
    <w:rsid w:val="00E415E1"/>
    <w:rsid w:val="00E45DA5"/>
    <w:rsid w:val="00E46CD5"/>
    <w:rsid w:val="00E47DF4"/>
    <w:rsid w:val="00E50C74"/>
    <w:rsid w:val="00E51D79"/>
    <w:rsid w:val="00E51DC9"/>
    <w:rsid w:val="00E543F6"/>
    <w:rsid w:val="00E55A6A"/>
    <w:rsid w:val="00E63865"/>
    <w:rsid w:val="00E64D1F"/>
    <w:rsid w:val="00E66818"/>
    <w:rsid w:val="00E66879"/>
    <w:rsid w:val="00E67C69"/>
    <w:rsid w:val="00E70725"/>
    <w:rsid w:val="00E73B62"/>
    <w:rsid w:val="00E75691"/>
    <w:rsid w:val="00E82949"/>
    <w:rsid w:val="00E82E4A"/>
    <w:rsid w:val="00E85AF9"/>
    <w:rsid w:val="00E8673A"/>
    <w:rsid w:val="00E86F7D"/>
    <w:rsid w:val="00E87D67"/>
    <w:rsid w:val="00E90711"/>
    <w:rsid w:val="00E91800"/>
    <w:rsid w:val="00E91E1A"/>
    <w:rsid w:val="00E93163"/>
    <w:rsid w:val="00E95827"/>
    <w:rsid w:val="00E96405"/>
    <w:rsid w:val="00E97E64"/>
    <w:rsid w:val="00EA1722"/>
    <w:rsid w:val="00EA28CB"/>
    <w:rsid w:val="00EA31AC"/>
    <w:rsid w:val="00EA405F"/>
    <w:rsid w:val="00EA62CE"/>
    <w:rsid w:val="00EA7365"/>
    <w:rsid w:val="00EA7DE9"/>
    <w:rsid w:val="00EB0506"/>
    <w:rsid w:val="00EB2217"/>
    <w:rsid w:val="00EB3653"/>
    <w:rsid w:val="00EC1EB8"/>
    <w:rsid w:val="00EC23EB"/>
    <w:rsid w:val="00EC3D82"/>
    <w:rsid w:val="00EC4DEA"/>
    <w:rsid w:val="00EC7D43"/>
    <w:rsid w:val="00ED3AC9"/>
    <w:rsid w:val="00ED6C79"/>
    <w:rsid w:val="00ED7EC4"/>
    <w:rsid w:val="00ED7FB3"/>
    <w:rsid w:val="00EE3388"/>
    <w:rsid w:val="00EE3924"/>
    <w:rsid w:val="00EE3FDC"/>
    <w:rsid w:val="00EE4318"/>
    <w:rsid w:val="00EE5557"/>
    <w:rsid w:val="00EF04FA"/>
    <w:rsid w:val="00EF06C7"/>
    <w:rsid w:val="00EF1BD0"/>
    <w:rsid w:val="00EF3011"/>
    <w:rsid w:val="00EF4149"/>
    <w:rsid w:val="00EF4FBA"/>
    <w:rsid w:val="00F03ACC"/>
    <w:rsid w:val="00F0427C"/>
    <w:rsid w:val="00F04D44"/>
    <w:rsid w:val="00F05D48"/>
    <w:rsid w:val="00F05DEE"/>
    <w:rsid w:val="00F1329D"/>
    <w:rsid w:val="00F13F12"/>
    <w:rsid w:val="00F14DAF"/>
    <w:rsid w:val="00F1620D"/>
    <w:rsid w:val="00F16357"/>
    <w:rsid w:val="00F22671"/>
    <w:rsid w:val="00F22BD6"/>
    <w:rsid w:val="00F24A84"/>
    <w:rsid w:val="00F24EF1"/>
    <w:rsid w:val="00F302B9"/>
    <w:rsid w:val="00F303DF"/>
    <w:rsid w:val="00F403EE"/>
    <w:rsid w:val="00F41D79"/>
    <w:rsid w:val="00F428A6"/>
    <w:rsid w:val="00F50200"/>
    <w:rsid w:val="00F507B9"/>
    <w:rsid w:val="00F5120F"/>
    <w:rsid w:val="00F51672"/>
    <w:rsid w:val="00F53421"/>
    <w:rsid w:val="00F5409E"/>
    <w:rsid w:val="00F56909"/>
    <w:rsid w:val="00F56AEA"/>
    <w:rsid w:val="00F619F0"/>
    <w:rsid w:val="00F61EC8"/>
    <w:rsid w:val="00F61F98"/>
    <w:rsid w:val="00F63375"/>
    <w:rsid w:val="00F63C84"/>
    <w:rsid w:val="00F65779"/>
    <w:rsid w:val="00F7458D"/>
    <w:rsid w:val="00F76A6E"/>
    <w:rsid w:val="00F77953"/>
    <w:rsid w:val="00F81347"/>
    <w:rsid w:val="00F81F6D"/>
    <w:rsid w:val="00F8489D"/>
    <w:rsid w:val="00F84B04"/>
    <w:rsid w:val="00F85A65"/>
    <w:rsid w:val="00F97B02"/>
    <w:rsid w:val="00F97BD5"/>
    <w:rsid w:val="00F97DD8"/>
    <w:rsid w:val="00FA05A5"/>
    <w:rsid w:val="00FA1FF4"/>
    <w:rsid w:val="00FA1FF8"/>
    <w:rsid w:val="00FA2592"/>
    <w:rsid w:val="00FA473E"/>
    <w:rsid w:val="00FA6031"/>
    <w:rsid w:val="00FA69E3"/>
    <w:rsid w:val="00FB0CA6"/>
    <w:rsid w:val="00FB13B8"/>
    <w:rsid w:val="00FB1730"/>
    <w:rsid w:val="00FB3DF4"/>
    <w:rsid w:val="00FB3F53"/>
    <w:rsid w:val="00FB40B2"/>
    <w:rsid w:val="00FB6202"/>
    <w:rsid w:val="00FB65A8"/>
    <w:rsid w:val="00FC03EE"/>
    <w:rsid w:val="00FC08B1"/>
    <w:rsid w:val="00FC0B96"/>
    <w:rsid w:val="00FC6DEA"/>
    <w:rsid w:val="00FD0BFA"/>
    <w:rsid w:val="00FD27F5"/>
    <w:rsid w:val="00FD4B7A"/>
    <w:rsid w:val="00FD4EF0"/>
    <w:rsid w:val="00FD4FED"/>
    <w:rsid w:val="00FD5517"/>
    <w:rsid w:val="00FD7A4C"/>
    <w:rsid w:val="00FE0119"/>
    <w:rsid w:val="00FE2DA4"/>
    <w:rsid w:val="00FE5C25"/>
    <w:rsid w:val="00FE7DD2"/>
    <w:rsid w:val="00FF0906"/>
    <w:rsid w:val="00FF44F9"/>
    <w:rsid w:val="00FF63F8"/>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0B"/>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link w:val="Heading2Char"/>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AEA"/>
    <w:rPr>
      <w:b/>
      <w:sz w:val="24"/>
    </w:rPr>
  </w:style>
  <w:style w:type="character" w:customStyle="1" w:styleId="Heading2Char">
    <w:name w:val="Heading 2 Char"/>
    <w:link w:val="Heading2"/>
    <w:rsid w:val="00F56AEA"/>
    <w:rPr>
      <w:sz w:val="24"/>
    </w:rPr>
  </w:style>
  <w:style w:type="table" w:styleId="TableGrid">
    <w:name w:val="Table Grid"/>
    <w:basedOn w:val="TableNormal"/>
    <w:uiPriority w:val="59"/>
    <w:rsid w:val="0025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DA4021"/>
    <w:pPr>
      <w:spacing w:after="240"/>
    </w:pPr>
    <w:rPr>
      <w:rFonts w:ascii="Arial" w:hAnsi="Arial"/>
      <w:sz w:val="24"/>
      <w:lang w:eastAsia="en-US"/>
    </w:rPr>
  </w:style>
  <w:style w:type="character" w:customStyle="1" w:styleId="evelynj">
    <w:name w:val="evelynj"/>
    <w:semiHidden/>
    <w:rsid w:val="00997D25"/>
    <w:rPr>
      <w:rFonts w:ascii="Arial" w:hAnsi="Arial" w:cs="Arial"/>
      <w:b w:val="0"/>
      <w:bCs w:val="0"/>
      <w:i w:val="0"/>
      <w:iCs w:val="0"/>
      <w:strike w:val="0"/>
      <w:color w:val="auto"/>
      <w:sz w:val="24"/>
      <w:szCs w:val="24"/>
      <w:u w:val="none"/>
    </w:rPr>
  </w:style>
  <w:style w:type="character" w:styleId="Hyperlink">
    <w:name w:val="Hyperlink"/>
    <w:uiPriority w:val="99"/>
    <w:rsid w:val="00343D8A"/>
    <w:rPr>
      <w:color w:val="0000FF"/>
      <w:u w:val="single"/>
    </w:rPr>
  </w:style>
  <w:style w:type="character" w:styleId="FollowedHyperlink">
    <w:name w:val="FollowedHyperlink"/>
    <w:uiPriority w:val="99"/>
    <w:rsid w:val="00220DD1"/>
    <w:rPr>
      <w:color w:val="800080"/>
      <w:u w:val="single"/>
    </w:rPr>
  </w:style>
  <w:style w:type="paragraph" w:styleId="BalloonText">
    <w:name w:val="Balloon Text"/>
    <w:basedOn w:val="Normal"/>
    <w:link w:val="BalloonTextChar"/>
    <w:uiPriority w:val="99"/>
    <w:semiHidden/>
    <w:rsid w:val="0004474D"/>
    <w:rPr>
      <w:rFonts w:ascii="Tahoma" w:hAnsi="Tahoma" w:cs="Tahoma"/>
      <w:sz w:val="16"/>
      <w:szCs w:val="16"/>
    </w:rPr>
  </w:style>
  <w:style w:type="character" w:customStyle="1" w:styleId="BalloonTextChar">
    <w:name w:val="Balloon Text Char"/>
    <w:link w:val="BalloonText"/>
    <w:uiPriority w:val="99"/>
    <w:semiHidden/>
    <w:rsid w:val="0030291A"/>
    <w:rPr>
      <w:rFonts w:ascii="Tahoma" w:hAnsi="Tahoma" w:cs="Tahoma"/>
      <w:sz w:val="16"/>
      <w:szCs w:val="16"/>
    </w:rPr>
  </w:style>
  <w:style w:type="paragraph" w:styleId="NormalWeb">
    <w:name w:val="Normal (Web)"/>
    <w:basedOn w:val="Normal"/>
    <w:uiPriority w:val="99"/>
    <w:unhideWhenUsed/>
    <w:rsid w:val="00117738"/>
    <w:rPr>
      <w:sz w:val="24"/>
      <w:szCs w:val="24"/>
    </w:rPr>
  </w:style>
  <w:style w:type="paragraph" w:customStyle="1" w:styleId="bodytext">
    <w:name w:val="bodytext"/>
    <w:basedOn w:val="Normal"/>
    <w:rsid w:val="000E710F"/>
    <w:pPr>
      <w:autoSpaceDE w:val="0"/>
      <w:autoSpaceDN w:val="0"/>
      <w:ind w:firstLine="480"/>
    </w:pPr>
    <w:rPr>
      <w:rFonts w:ascii="Century Gothic" w:hAnsi="Century Gothic"/>
      <w:color w:val="000000"/>
      <w:sz w:val="24"/>
      <w:szCs w:val="24"/>
    </w:rPr>
  </w:style>
  <w:style w:type="paragraph" w:styleId="ListParagraph">
    <w:name w:val="List Paragraph"/>
    <w:basedOn w:val="Normal"/>
    <w:uiPriority w:val="34"/>
    <w:qFormat/>
    <w:rsid w:val="00750FDD"/>
    <w:pPr>
      <w:spacing w:after="200" w:line="276" w:lineRule="auto"/>
      <w:ind w:left="720"/>
      <w:contextualSpacing/>
    </w:pPr>
    <w:rPr>
      <w:rFonts w:ascii="Calibri" w:eastAsia="Calibri" w:hAnsi="Calibri"/>
      <w:sz w:val="22"/>
      <w:szCs w:val="22"/>
      <w:lang w:eastAsia="en-US"/>
    </w:rPr>
  </w:style>
  <w:style w:type="paragraph" w:customStyle="1" w:styleId="BasicParagraph">
    <w:name w:val="[Basic Paragraph]"/>
    <w:basedOn w:val="Normal"/>
    <w:uiPriority w:val="99"/>
    <w:rsid w:val="00F56AEA"/>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CharCharChar">
    <w:name w:val="Char Char Char"/>
    <w:basedOn w:val="Normal"/>
    <w:rsid w:val="00F56AEA"/>
    <w:pPr>
      <w:spacing w:after="160" w:line="240" w:lineRule="exact"/>
    </w:pPr>
    <w:rPr>
      <w:rFonts w:ascii="Verdana" w:hAnsi="Verdana"/>
      <w:lang w:val="en-US" w:eastAsia="en-US"/>
    </w:rPr>
  </w:style>
  <w:style w:type="character" w:styleId="PageNumber">
    <w:name w:val="page number"/>
    <w:rsid w:val="00F56AEA"/>
  </w:style>
  <w:style w:type="paragraph" w:styleId="BodyText0">
    <w:name w:val="Body Text"/>
    <w:basedOn w:val="Normal"/>
    <w:link w:val="BodyTextChar"/>
    <w:rsid w:val="00F56AEA"/>
    <w:pPr>
      <w:spacing w:after="120"/>
    </w:pPr>
    <w:rPr>
      <w:sz w:val="24"/>
      <w:szCs w:val="24"/>
    </w:rPr>
  </w:style>
  <w:style w:type="character" w:customStyle="1" w:styleId="BodyTextChar">
    <w:name w:val="Body Text Char"/>
    <w:link w:val="BodyText0"/>
    <w:rsid w:val="00F56AEA"/>
    <w:rPr>
      <w:sz w:val="24"/>
      <w:szCs w:val="24"/>
    </w:rPr>
  </w:style>
  <w:style w:type="paragraph" w:styleId="NoSpacing">
    <w:name w:val="No Spacing"/>
    <w:uiPriority w:val="1"/>
    <w:qFormat/>
    <w:rsid w:val="00F56AEA"/>
    <w:rPr>
      <w:rFonts w:ascii="Calibri" w:eastAsia="Calibri" w:hAnsi="Calibri"/>
      <w:sz w:val="22"/>
      <w:szCs w:val="22"/>
      <w:lang w:eastAsia="en-US"/>
    </w:rPr>
  </w:style>
  <w:style w:type="paragraph" w:styleId="Header">
    <w:name w:val="header"/>
    <w:basedOn w:val="Normal"/>
    <w:link w:val="HeaderChar"/>
    <w:unhideWhenUsed/>
    <w:rsid w:val="00F56AE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F56AEA"/>
    <w:rPr>
      <w:rFonts w:ascii="Calibri" w:eastAsia="Calibri" w:hAnsi="Calibri"/>
      <w:sz w:val="22"/>
      <w:szCs w:val="22"/>
      <w:lang w:eastAsia="en-US"/>
    </w:rPr>
  </w:style>
  <w:style w:type="paragraph" w:styleId="Footer">
    <w:name w:val="footer"/>
    <w:basedOn w:val="Normal"/>
    <w:link w:val="FooterChar"/>
    <w:unhideWhenUsed/>
    <w:rsid w:val="00F56AEA"/>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rsid w:val="00F56AEA"/>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56AEA"/>
    <w:rPr>
      <w:rFonts w:ascii="Calibri" w:eastAsia="Calibri" w:hAnsi="Calibri"/>
      <w:lang w:eastAsia="en-US"/>
    </w:rPr>
  </w:style>
  <w:style w:type="character" w:customStyle="1" w:styleId="FootnoteTextChar">
    <w:name w:val="Footnote Text Char"/>
    <w:link w:val="FootnoteText"/>
    <w:uiPriority w:val="99"/>
    <w:semiHidden/>
    <w:rsid w:val="00F56AEA"/>
    <w:rPr>
      <w:rFonts w:ascii="Calibri" w:eastAsia="Calibri" w:hAnsi="Calibri"/>
      <w:lang w:eastAsia="en-US"/>
    </w:rPr>
  </w:style>
  <w:style w:type="character" w:styleId="FootnoteReference">
    <w:name w:val="footnote reference"/>
    <w:uiPriority w:val="99"/>
    <w:semiHidden/>
    <w:unhideWhenUsed/>
    <w:rsid w:val="00F56AEA"/>
    <w:rPr>
      <w:vertAlign w:val="superscript"/>
    </w:rPr>
  </w:style>
  <w:style w:type="paragraph" w:customStyle="1" w:styleId="Default">
    <w:name w:val="Default"/>
    <w:basedOn w:val="Normal"/>
    <w:rsid w:val="00F56AEA"/>
    <w:pPr>
      <w:autoSpaceDE w:val="0"/>
      <w:autoSpaceDN w:val="0"/>
    </w:pPr>
    <w:rPr>
      <w:rFonts w:ascii="Arial" w:eastAsia="Calibri" w:hAnsi="Arial" w:cs="Arial"/>
      <w:color w:val="000000"/>
      <w:sz w:val="24"/>
      <w:szCs w:val="24"/>
      <w:lang w:bidi="he-IL"/>
    </w:rPr>
  </w:style>
  <w:style w:type="paragraph" w:customStyle="1" w:styleId="descriptionblock">
    <w:name w:val="descriptionblock"/>
    <w:basedOn w:val="Normal"/>
    <w:rsid w:val="00F56AEA"/>
    <w:pPr>
      <w:spacing w:before="100" w:beforeAutospacing="1" w:after="100" w:afterAutospacing="1"/>
    </w:pPr>
    <w:rPr>
      <w:color w:val="666666"/>
      <w:sz w:val="24"/>
      <w:szCs w:val="24"/>
    </w:rPr>
  </w:style>
  <w:style w:type="paragraph" w:customStyle="1" w:styleId="BodyText1">
    <w:name w:val="Body Text1"/>
    <w:rsid w:val="00F56AEA"/>
    <w:pPr>
      <w:autoSpaceDE w:val="0"/>
      <w:autoSpaceDN w:val="0"/>
      <w:adjustRightInd w:val="0"/>
      <w:ind w:firstLine="480"/>
    </w:pPr>
    <w:rPr>
      <w:rFonts w:ascii="Century Gothic" w:hAnsi="Century Gothic" w:cs="Century Gothic"/>
      <w:color w:val="000000"/>
      <w:sz w:val="24"/>
      <w:szCs w:val="24"/>
    </w:rPr>
  </w:style>
  <w:style w:type="character" w:customStyle="1" w:styleId="HeaderChar1">
    <w:name w:val="Header Char1"/>
    <w:rsid w:val="00F56AEA"/>
    <w:rPr>
      <w:rFonts w:ascii="Times New Roman" w:eastAsia="Times New Roman" w:hAnsi="Times New Roman" w:cs="Times New Roman"/>
      <w:sz w:val="20"/>
      <w:szCs w:val="20"/>
      <w:lang w:eastAsia="en-GB"/>
    </w:rPr>
  </w:style>
  <w:style w:type="paragraph" w:customStyle="1" w:styleId="xl63">
    <w:name w:val="xl6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4C0BCE"/>
    <w:pPr>
      <w:spacing w:before="100" w:beforeAutospacing="1" w:after="100" w:afterAutospacing="1"/>
      <w:jc w:val="center"/>
    </w:pPr>
    <w:rPr>
      <w:sz w:val="24"/>
      <w:szCs w:val="24"/>
    </w:rPr>
  </w:style>
  <w:style w:type="paragraph" w:customStyle="1" w:styleId="xl69">
    <w:name w:val="xl69"/>
    <w:basedOn w:val="Normal"/>
    <w:rsid w:val="004C0BCE"/>
    <w:pPr>
      <w:spacing w:before="100" w:beforeAutospacing="1" w:after="100" w:afterAutospacing="1"/>
    </w:pPr>
    <w:rPr>
      <w:sz w:val="24"/>
      <w:szCs w:val="24"/>
    </w:rPr>
  </w:style>
  <w:style w:type="paragraph" w:customStyle="1" w:styleId="xl70">
    <w:name w:val="xl7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2">
    <w:name w:val="xl7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74">
    <w:name w:val="xl74"/>
    <w:basedOn w:val="Normal"/>
    <w:rsid w:val="004C0BCE"/>
    <w:pPr>
      <w:spacing w:before="100" w:beforeAutospacing="1" w:after="100" w:afterAutospacing="1"/>
      <w:jc w:val="center"/>
    </w:pPr>
    <w:rPr>
      <w:sz w:val="32"/>
      <w:szCs w:val="32"/>
    </w:rPr>
  </w:style>
  <w:style w:type="paragraph" w:customStyle="1" w:styleId="xl75">
    <w:name w:val="xl75"/>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76">
    <w:name w:val="xl76"/>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77">
    <w:name w:val="xl77"/>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Normal"/>
    <w:rsid w:val="004C0BC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83">
    <w:name w:val="xl83"/>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6">
    <w:name w:val="xl86"/>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32"/>
      <w:szCs w:val="32"/>
    </w:rPr>
  </w:style>
  <w:style w:type="paragraph" w:customStyle="1" w:styleId="xl87">
    <w:name w:val="xl8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9">
    <w:name w:val="xl89"/>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4C0BCE"/>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
    <w:rsid w:val="004C0BC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4C0BCE"/>
    <w:pPr>
      <w:pBdr>
        <w:top w:val="single" w:sz="4" w:space="0" w:color="auto"/>
        <w:left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3">
    <w:name w:val="xl93"/>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rsid w:val="004C0BC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4C0BC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7">
    <w:name w:val="xl97"/>
    <w:basedOn w:val="Normal"/>
    <w:rsid w:val="004C0BC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8">
    <w:name w:val="xl98"/>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2">
    <w:name w:val="xl10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
    <w:name w:val="xl10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0B"/>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link w:val="Heading2Char"/>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AEA"/>
    <w:rPr>
      <w:b/>
      <w:sz w:val="24"/>
    </w:rPr>
  </w:style>
  <w:style w:type="character" w:customStyle="1" w:styleId="Heading2Char">
    <w:name w:val="Heading 2 Char"/>
    <w:link w:val="Heading2"/>
    <w:rsid w:val="00F56AEA"/>
    <w:rPr>
      <w:sz w:val="24"/>
    </w:rPr>
  </w:style>
  <w:style w:type="table" w:styleId="TableGrid">
    <w:name w:val="Table Grid"/>
    <w:basedOn w:val="TableNormal"/>
    <w:uiPriority w:val="59"/>
    <w:rsid w:val="0025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DA4021"/>
    <w:pPr>
      <w:spacing w:after="240"/>
    </w:pPr>
    <w:rPr>
      <w:rFonts w:ascii="Arial" w:hAnsi="Arial"/>
      <w:sz w:val="24"/>
      <w:lang w:eastAsia="en-US"/>
    </w:rPr>
  </w:style>
  <w:style w:type="character" w:customStyle="1" w:styleId="evelynj">
    <w:name w:val="evelynj"/>
    <w:semiHidden/>
    <w:rsid w:val="00997D25"/>
    <w:rPr>
      <w:rFonts w:ascii="Arial" w:hAnsi="Arial" w:cs="Arial"/>
      <w:b w:val="0"/>
      <w:bCs w:val="0"/>
      <w:i w:val="0"/>
      <w:iCs w:val="0"/>
      <w:strike w:val="0"/>
      <w:color w:val="auto"/>
      <w:sz w:val="24"/>
      <w:szCs w:val="24"/>
      <w:u w:val="none"/>
    </w:rPr>
  </w:style>
  <w:style w:type="character" w:styleId="Hyperlink">
    <w:name w:val="Hyperlink"/>
    <w:uiPriority w:val="99"/>
    <w:rsid w:val="00343D8A"/>
    <w:rPr>
      <w:color w:val="0000FF"/>
      <w:u w:val="single"/>
    </w:rPr>
  </w:style>
  <w:style w:type="character" w:styleId="FollowedHyperlink">
    <w:name w:val="FollowedHyperlink"/>
    <w:uiPriority w:val="99"/>
    <w:rsid w:val="00220DD1"/>
    <w:rPr>
      <w:color w:val="800080"/>
      <w:u w:val="single"/>
    </w:rPr>
  </w:style>
  <w:style w:type="paragraph" w:styleId="BalloonText">
    <w:name w:val="Balloon Text"/>
    <w:basedOn w:val="Normal"/>
    <w:link w:val="BalloonTextChar"/>
    <w:uiPriority w:val="99"/>
    <w:semiHidden/>
    <w:rsid w:val="0004474D"/>
    <w:rPr>
      <w:rFonts w:ascii="Tahoma" w:hAnsi="Tahoma" w:cs="Tahoma"/>
      <w:sz w:val="16"/>
      <w:szCs w:val="16"/>
    </w:rPr>
  </w:style>
  <w:style w:type="character" w:customStyle="1" w:styleId="BalloonTextChar">
    <w:name w:val="Balloon Text Char"/>
    <w:link w:val="BalloonText"/>
    <w:uiPriority w:val="99"/>
    <w:semiHidden/>
    <w:rsid w:val="0030291A"/>
    <w:rPr>
      <w:rFonts w:ascii="Tahoma" w:hAnsi="Tahoma" w:cs="Tahoma"/>
      <w:sz w:val="16"/>
      <w:szCs w:val="16"/>
    </w:rPr>
  </w:style>
  <w:style w:type="paragraph" w:styleId="NormalWeb">
    <w:name w:val="Normal (Web)"/>
    <w:basedOn w:val="Normal"/>
    <w:uiPriority w:val="99"/>
    <w:unhideWhenUsed/>
    <w:rsid w:val="00117738"/>
    <w:rPr>
      <w:sz w:val="24"/>
      <w:szCs w:val="24"/>
    </w:rPr>
  </w:style>
  <w:style w:type="paragraph" w:customStyle="1" w:styleId="bodytext">
    <w:name w:val="bodytext"/>
    <w:basedOn w:val="Normal"/>
    <w:rsid w:val="000E710F"/>
    <w:pPr>
      <w:autoSpaceDE w:val="0"/>
      <w:autoSpaceDN w:val="0"/>
      <w:ind w:firstLine="480"/>
    </w:pPr>
    <w:rPr>
      <w:rFonts w:ascii="Century Gothic" w:hAnsi="Century Gothic"/>
      <w:color w:val="000000"/>
      <w:sz w:val="24"/>
      <w:szCs w:val="24"/>
    </w:rPr>
  </w:style>
  <w:style w:type="paragraph" w:styleId="ListParagraph">
    <w:name w:val="List Paragraph"/>
    <w:basedOn w:val="Normal"/>
    <w:uiPriority w:val="34"/>
    <w:qFormat/>
    <w:rsid w:val="00750FDD"/>
    <w:pPr>
      <w:spacing w:after="200" w:line="276" w:lineRule="auto"/>
      <w:ind w:left="720"/>
      <w:contextualSpacing/>
    </w:pPr>
    <w:rPr>
      <w:rFonts w:ascii="Calibri" w:eastAsia="Calibri" w:hAnsi="Calibri"/>
      <w:sz w:val="22"/>
      <w:szCs w:val="22"/>
      <w:lang w:eastAsia="en-US"/>
    </w:rPr>
  </w:style>
  <w:style w:type="paragraph" w:customStyle="1" w:styleId="BasicParagraph">
    <w:name w:val="[Basic Paragraph]"/>
    <w:basedOn w:val="Normal"/>
    <w:uiPriority w:val="99"/>
    <w:rsid w:val="00F56AEA"/>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CharCharChar">
    <w:name w:val="Char Char Char"/>
    <w:basedOn w:val="Normal"/>
    <w:rsid w:val="00F56AEA"/>
    <w:pPr>
      <w:spacing w:after="160" w:line="240" w:lineRule="exact"/>
    </w:pPr>
    <w:rPr>
      <w:rFonts w:ascii="Verdana" w:hAnsi="Verdana"/>
      <w:lang w:val="en-US" w:eastAsia="en-US"/>
    </w:rPr>
  </w:style>
  <w:style w:type="character" w:styleId="PageNumber">
    <w:name w:val="page number"/>
    <w:rsid w:val="00F56AEA"/>
  </w:style>
  <w:style w:type="paragraph" w:styleId="BodyText0">
    <w:name w:val="Body Text"/>
    <w:basedOn w:val="Normal"/>
    <w:link w:val="BodyTextChar"/>
    <w:rsid w:val="00F56AEA"/>
    <w:pPr>
      <w:spacing w:after="120"/>
    </w:pPr>
    <w:rPr>
      <w:sz w:val="24"/>
      <w:szCs w:val="24"/>
    </w:rPr>
  </w:style>
  <w:style w:type="character" w:customStyle="1" w:styleId="BodyTextChar">
    <w:name w:val="Body Text Char"/>
    <w:link w:val="BodyText0"/>
    <w:rsid w:val="00F56AEA"/>
    <w:rPr>
      <w:sz w:val="24"/>
      <w:szCs w:val="24"/>
    </w:rPr>
  </w:style>
  <w:style w:type="paragraph" w:styleId="NoSpacing">
    <w:name w:val="No Spacing"/>
    <w:uiPriority w:val="1"/>
    <w:qFormat/>
    <w:rsid w:val="00F56AEA"/>
    <w:rPr>
      <w:rFonts w:ascii="Calibri" w:eastAsia="Calibri" w:hAnsi="Calibri"/>
      <w:sz w:val="22"/>
      <w:szCs w:val="22"/>
      <w:lang w:eastAsia="en-US"/>
    </w:rPr>
  </w:style>
  <w:style w:type="paragraph" w:styleId="Header">
    <w:name w:val="header"/>
    <w:basedOn w:val="Normal"/>
    <w:link w:val="HeaderChar"/>
    <w:unhideWhenUsed/>
    <w:rsid w:val="00F56AE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F56AEA"/>
    <w:rPr>
      <w:rFonts w:ascii="Calibri" w:eastAsia="Calibri" w:hAnsi="Calibri"/>
      <w:sz w:val="22"/>
      <w:szCs w:val="22"/>
      <w:lang w:eastAsia="en-US"/>
    </w:rPr>
  </w:style>
  <w:style w:type="paragraph" w:styleId="Footer">
    <w:name w:val="footer"/>
    <w:basedOn w:val="Normal"/>
    <w:link w:val="FooterChar"/>
    <w:unhideWhenUsed/>
    <w:rsid w:val="00F56AEA"/>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rsid w:val="00F56AEA"/>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56AEA"/>
    <w:rPr>
      <w:rFonts w:ascii="Calibri" w:eastAsia="Calibri" w:hAnsi="Calibri"/>
      <w:lang w:eastAsia="en-US"/>
    </w:rPr>
  </w:style>
  <w:style w:type="character" w:customStyle="1" w:styleId="FootnoteTextChar">
    <w:name w:val="Footnote Text Char"/>
    <w:link w:val="FootnoteText"/>
    <w:uiPriority w:val="99"/>
    <w:semiHidden/>
    <w:rsid w:val="00F56AEA"/>
    <w:rPr>
      <w:rFonts w:ascii="Calibri" w:eastAsia="Calibri" w:hAnsi="Calibri"/>
      <w:lang w:eastAsia="en-US"/>
    </w:rPr>
  </w:style>
  <w:style w:type="character" w:styleId="FootnoteReference">
    <w:name w:val="footnote reference"/>
    <w:uiPriority w:val="99"/>
    <w:semiHidden/>
    <w:unhideWhenUsed/>
    <w:rsid w:val="00F56AEA"/>
    <w:rPr>
      <w:vertAlign w:val="superscript"/>
    </w:rPr>
  </w:style>
  <w:style w:type="paragraph" w:customStyle="1" w:styleId="Default">
    <w:name w:val="Default"/>
    <w:basedOn w:val="Normal"/>
    <w:rsid w:val="00F56AEA"/>
    <w:pPr>
      <w:autoSpaceDE w:val="0"/>
      <w:autoSpaceDN w:val="0"/>
    </w:pPr>
    <w:rPr>
      <w:rFonts w:ascii="Arial" w:eastAsia="Calibri" w:hAnsi="Arial" w:cs="Arial"/>
      <w:color w:val="000000"/>
      <w:sz w:val="24"/>
      <w:szCs w:val="24"/>
      <w:lang w:bidi="he-IL"/>
    </w:rPr>
  </w:style>
  <w:style w:type="paragraph" w:customStyle="1" w:styleId="descriptionblock">
    <w:name w:val="descriptionblock"/>
    <w:basedOn w:val="Normal"/>
    <w:rsid w:val="00F56AEA"/>
    <w:pPr>
      <w:spacing w:before="100" w:beforeAutospacing="1" w:after="100" w:afterAutospacing="1"/>
    </w:pPr>
    <w:rPr>
      <w:color w:val="666666"/>
      <w:sz w:val="24"/>
      <w:szCs w:val="24"/>
    </w:rPr>
  </w:style>
  <w:style w:type="paragraph" w:customStyle="1" w:styleId="BodyText1">
    <w:name w:val="Body Text1"/>
    <w:rsid w:val="00F56AEA"/>
    <w:pPr>
      <w:autoSpaceDE w:val="0"/>
      <w:autoSpaceDN w:val="0"/>
      <w:adjustRightInd w:val="0"/>
      <w:ind w:firstLine="480"/>
    </w:pPr>
    <w:rPr>
      <w:rFonts w:ascii="Century Gothic" w:hAnsi="Century Gothic" w:cs="Century Gothic"/>
      <w:color w:val="000000"/>
      <w:sz w:val="24"/>
      <w:szCs w:val="24"/>
    </w:rPr>
  </w:style>
  <w:style w:type="character" w:customStyle="1" w:styleId="HeaderChar1">
    <w:name w:val="Header Char1"/>
    <w:rsid w:val="00F56AEA"/>
    <w:rPr>
      <w:rFonts w:ascii="Times New Roman" w:eastAsia="Times New Roman" w:hAnsi="Times New Roman" w:cs="Times New Roman"/>
      <w:sz w:val="20"/>
      <w:szCs w:val="20"/>
      <w:lang w:eastAsia="en-GB"/>
    </w:rPr>
  </w:style>
  <w:style w:type="paragraph" w:customStyle="1" w:styleId="xl63">
    <w:name w:val="xl6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4C0BCE"/>
    <w:pPr>
      <w:spacing w:before="100" w:beforeAutospacing="1" w:after="100" w:afterAutospacing="1"/>
      <w:jc w:val="center"/>
    </w:pPr>
    <w:rPr>
      <w:sz w:val="24"/>
      <w:szCs w:val="24"/>
    </w:rPr>
  </w:style>
  <w:style w:type="paragraph" w:customStyle="1" w:styleId="xl69">
    <w:name w:val="xl69"/>
    <w:basedOn w:val="Normal"/>
    <w:rsid w:val="004C0BCE"/>
    <w:pPr>
      <w:spacing w:before="100" w:beforeAutospacing="1" w:after="100" w:afterAutospacing="1"/>
    </w:pPr>
    <w:rPr>
      <w:sz w:val="24"/>
      <w:szCs w:val="24"/>
    </w:rPr>
  </w:style>
  <w:style w:type="paragraph" w:customStyle="1" w:styleId="xl70">
    <w:name w:val="xl7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2">
    <w:name w:val="xl7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74">
    <w:name w:val="xl74"/>
    <w:basedOn w:val="Normal"/>
    <w:rsid w:val="004C0BCE"/>
    <w:pPr>
      <w:spacing w:before="100" w:beforeAutospacing="1" w:after="100" w:afterAutospacing="1"/>
      <w:jc w:val="center"/>
    </w:pPr>
    <w:rPr>
      <w:sz w:val="32"/>
      <w:szCs w:val="32"/>
    </w:rPr>
  </w:style>
  <w:style w:type="paragraph" w:customStyle="1" w:styleId="xl75">
    <w:name w:val="xl75"/>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76">
    <w:name w:val="xl76"/>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77">
    <w:name w:val="xl77"/>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Normal"/>
    <w:rsid w:val="004C0BC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83">
    <w:name w:val="xl83"/>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6">
    <w:name w:val="xl86"/>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32"/>
      <w:szCs w:val="32"/>
    </w:rPr>
  </w:style>
  <w:style w:type="paragraph" w:customStyle="1" w:styleId="xl87">
    <w:name w:val="xl8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9">
    <w:name w:val="xl89"/>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4C0BCE"/>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
    <w:rsid w:val="004C0BC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4C0BCE"/>
    <w:pPr>
      <w:pBdr>
        <w:top w:val="single" w:sz="4" w:space="0" w:color="auto"/>
        <w:left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3">
    <w:name w:val="xl93"/>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rsid w:val="004C0BC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4C0BC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7">
    <w:name w:val="xl97"/>
    <w:basedOn w:val="Normal"/>
    <w:rsid w:val="004C0BC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8">
    <w:name w:val="xl98"/>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2">
    <w:name w:val="xl10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
    <w:name w:val="xl10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3">
      <w:bodyDiv w:val="1"/>
      <w:marLeft w:val="0"/>
      <w:marRight w:val="0"/>
      <w:marTop w:val="0"/>
      <w:marBottom w:val="0"/>
      <w:divBdr>
        <w:top w:val="none" w:sz="0" w:space="0" w:color="auto"/>
        <w:left w:val="none" w:sz="0" w:space="0" w:color="auto"/>
        <w:bottom w:val="none" w:sz="0" w:space="0" w:color="auto"/>
        <w:right w:val="none" w:sz="0" w:space="0" w:color="auto"/>
      </w:divBdr>
    </w:div>
    <w:div w:id="83452840">
      <w:bodyDiv w:val="1"/>
      <w:marLeft w:val="0"/>
      <w:marRight w:val="0"/>
      <w:marTop w:val="0"/>
      <w:marBottom w:val="0"/>
      <w:divBdr>
        <w:top w:val="none" w:sz="0" w:space="0" w:color="auto"/>
        <w:left w:val="none" w:sz="0" w:space="0" w:color="auto"/>
        <w:bottom w:val="none" w:sz="0" w:space="0" w:color="auto"/>
        <w:right w:val="none" w:sz="0" w:space="0" w:color="auto"/>
      </w:divBdr>
    </w:div>
    <w:div w:id="86119602">
      <w:bodyDiv w:val="1"/>
      <w:marLeft w:val="0"/>
      <w:marRight w:val="0"/>
      <w:marTop w:val="0"/>
      <w:marBottom w:val="0"/>
      <w:divBdr>
        <w:top w:val="none" w:sz="0" w:space="0" w:color="auto"/>
        <w:left w:val="none" w:sz="0" w:space="0" w:color="auto"/>
        <w:bottom w:val="none" w:sz="0" w:space="0" w:color="auto"/>
        <w:right w:val="none" w:sz="0" w:space="0" w:color="auto"/>
      </w:divBdr>
    </w:div>
    <w:div w:id="135730560">
      <w:bodyDiv w:val="1"/>
      <w:marLeft w:val="0"/>
      <w:marRight w:val="0"/>
      <w:marTop w:val="0"/>
      <w:marBottom w:val="0"/>
      <w:divBdr>
        <w:top w:val="none" w:sz="0" w:space="0" w:color="auto"/>
        <w:left w:val="none" w:sz="0" w:space="0" w:color="auto"/>
        <w:bottom w:val="none" w:sz="0" w:space="0" w:color="auto"/>
        <w:right w:val="none" w:sz="0" w:space="0" w:color="auto"/>
      </w:divBdr>
    </w:div>
    <w:div w:id="196815988">
      <w:bodyDiv w:val="1"/>
      <w:marLeft w:val="0"/>
      <w:marRight w:val="0"/>
      <w:marTop w:val="0"/>
      <w:marBottom w:val="0"/>
      <w:divBdr>
        <w:top w:val="none" w:sz="0" w:space="0" w:color="auto"/>
        <w:left w:val="none" w:sz="0" w:space="0" w:color="auto"/>
        <w:bottom w:val="none" w:sz="0" w:space="0" w:color="auto"/>
        <w:right w:val="none" w:sz="0" w:space="0" w:color="auto"/>
      </w:divBdr>
    </w:div>
    <w:div w:id="412437025">
      <w:bodyDiv w:val="1"/>
      <w:marLeft w:val="0"/>
      <w:marRight w:val="0"/>
      <w:marTop w:val="0"/>
      <w:marBottom w:val="0"/>
      <w:divBdr>
        <w:top w:val="none" w:sz="0" w:space="0" w:color="auto"/>
        <w:left w:val="none" w:sz="0" w:space="0" w:color="auto"/>
        <w:bottom w:val="none" w:sz="0" w:space="0" w:color="auto"/>
        <w:right w:val="none" w:sz="0" w:space="0" w:color="auto"/>
      </w:divBdr>
    </w:div>
    <w:div w:id="506363168">
      <w:bodyDiv w:val="1"/>
      <w:marLeft w:val="0"/>
      <w:marRight w:val="0"/>
      <w:marTop w:val="0"/>
      <w:marBottom w:val="0"/>
      <w:divBdr>
        <w:top w:val="none" w:sz="0" w:space="0" w:color="auto"/>
        <w:left w:val="none" w:sz="0" w:space="0" w:color="auto"/>
        <w:bottom w:val="none" w:sz="0" w:space="0" w:color="auto"/>
        <w:right w:val="none" w:sz="0" w:space="0" w:color="auto"/>
      </w:divBdr>
    </w:div>
    <w:div w:id="645358861">
      <w:bodyDiv w:val="1"/>
      <w:marLeft w:val="0"/>
      <w:marRight w:val="0"/>
      <w:marTop w:val="0"/>
      <w:marBottom w:val="0"/>
      <w:divBdr>
        <w:top w:val="none" w:sz="0" w:space="0" w:color="auto"/>
        <w:left w:val="none" w:sz="0" w:space="0" w:color="auto"/>
        <w:bottom w:val="none" w:sz="0" w:space="0" w:color="auto"/>
        <w:right w:val="none" w:sz="0" w:space="0" w:color="auto"/>
      </w:divBdr>
    </w:div>
    <w:div w:id="688065942">
      <w:bodyDiv w:val="1"/>
      <w:marLeft w:val="0"/>
      <w:marRight w:val="0"/>
      <w:marTop w:val="0"/>
      <w:marBottom w:val="0"/>
      <w:divBdr>
        <w:top w:val="none" w:sz="0" w:space="0" w:color="auto"/>
        <w:left w:val="none" w:sz="0" w:space="0" w:color="auto"/>
        <w:bottom w:val="none" w:sz="0" w:space="0" w:color="auto"/>
        <w:right w:val="none" w:sz="0" w:space="0" w:color="auto"/>
      </w:divBdr>
    </w:div>
    <w:div w:id="723601568">
      <w:bodyDiv w:val="1"/>
      <w:marLeft w:val="0"/>
      <w:marRight w:val="0"/>
      <w:marTop w:val="0"/>
      <w:marBottom w:val="0"/>
      <w:divBdr>
        <w:top w:val="none" w:sz="0" w:space="0" w:color="auto"/>
        <w:left w:val="none" w:sz="0" w:space="0" w:color="auto"/>
        <w:bottom w:val="none" w:sz="0" w:space="0" w:color="auto"/>
        <w:right w:val="none" w:sz="0" w:space="0" w:color="auto"/>
      </w:divBdr>
    </w:div>
    <w:div w:id="754596563">
      <w:bodyDiv w:val="1"/>
      <w:marLeft w:val="0"/>
      <w:marRight w:val="0"/>
      <w:marTop w:val="0"/>
      <w:marBottom w:val="0"/>
      <w:divBdr>
        <w:top w:val="none" w:sz="0" w:space="0" w:color="auto"/>
        <w:left w:val="none" w:sz="0" w:space="0" w:color="auto"/>
        <w:bottom w:val="none" w:sz="0" w:space="0" w:color="auto"/>
        <w:right w:val="none" w:sz="0" w:space="0" w:color="auto"/>
      </w:divBdr>
    </w:div>
    <w:div w:id="809907452">
      <w:bodyDiv w:val="1"/>
      <w:marLeft w:val="0"/>
      <w:marRight w:val="0"/>
      <w:marTop w:val="0"/>
      <w:marBottom w:val="0"/>
      <w:divBdr>
        <w:top w:val="none" w:sz="0" w:space="0" w:color="auto"/>
        <w:left w:val="none" w:sz="0" w:space="0" w:color="auto"/>
        <w:bottom w:val="none" w:sz="0" w:space="0" w:color="auto"/>
        <w:right w:val="none" w:sz="0" w:space="0" w:color="auto"/>
      </w:divBdr>
    </w:div>
    <w:div w:id="889999932">
      <w:bodyDiv w:val="1"/>
      <w:marLeft w:val="0"/>
      <w:marRight w:val="0"/>
      <w:marTop w:val="0"/>
      <w:marBottom w:val="0"/>
      <w:divBdr>
        <w:top w:val="none" w:sz="0" w:space="0" w:color="auto"/>
        <w:left w:val="none" w:sz="0" w:space="0" w:color="auto"/>
        <w:bottom w:val="none" w:sz="0" w:space="0" w:color="auto"/>
        <w:right w:val="none" w:sz="0" w:space="0" w:color="auto"/>
      </w:divBdr>
    </w:div>
    <w:div w:id="1082796170">
      <w:bodyDiv w:val="1"/>
      <w:marLeft w:val="0"/>
      <w:marRight w:val="0"/>
      <w:marTop w:val="0"/>
      <w:marBottom w:val="0"/>
      <w:divBdr>
        <w:top w:val="none" w:sz="0" w:space="0" w:color="auto"/>
        <w:left w:val="none" w:sz="0" w:space="0" w:color="auto"/>
        <w:bottom w:val="none" w:sz="0" w:space="0" w:color="auto"/>
        <w:right w:val="none" w:sz="0" w:space="0" w:color="auto"/>
      </w:divBdr>
    </w:div>
    <w:div w:id="1085300493">
      <w:bodyDiv w:val="1"/>
      <w:marLeft w:val="0"/>
      <w:marRight w:val="0"/>
      <w:marTop w:val="0"/>
      <w:marBottom w:val="0"/>
      <w:divBdr>
        <w:top w:val="none" w:sz="0" w:space="0" w:color="auto"/>
        <w:left w:val="none" w:sz="0" w:space="0" w:color="auto"/>
        <w:bottom w:val="none" w:sz="0" w:space="0" w:color="auto"/>
        <w:right w:val="none" w:sz="0" w:space="0" w:color="auto"/>
      </w:divBdr>
      <w:divsChild>
        <w:div w:id="254754652">
          <w:marLeft w:val="0"/>
          <w:marRight w:val="0"/>
          <w:marTop w:val="0"/>
          <w:marBottom w:val="0"/>
          <w:divBdr>
            <w:top w:val="none" w:sz="0" w:space="0" w:color="auto"/>
            <w:left w:val="none" w:sz="0" w:space="0" w:color="auto"/>
            <w:bottom w:val="none" w:sz="0" w:space="0" w:color="auto"/>
            <w:right w:val="none" w:sz="0" w:space="0" w:color="auto"/>
          </w:divBdr>
        </w:div>
        <w:div w:id="267927034">
          <w:marLeft w:val="0"/>
          <w:marRight w:val="0"/>
          <w:marTop w:val="0"/>
          <w:marBottom w:val="0"/>
          <w:divBdr>
            <w:top w:val="none" w:sz="0" w:space="0" w:color="auto"/>
            <w:left w:val="none" w:sz="0" w:space="0" w:color="auto"/>
            <w:bottom w:val="none" w:sz="0" w:space="0" w:color="auto"/>
            <w:right w:val="none" w:sz="0" w:space="0" w:color="auto"/>
          </w:divBdr>
        </w:div>
        <w:div w:id="274798281">
          <w:marLeft w:val="0"/>
          <w:marRight w:val="0"/>
          <w:marTop w:val="0"/>
          <w:marBottom w:val="0"/>
          <w:divBdr>
            <w:top w:val="none" w:sz="0" w:space="0" w:color="auto"/>
            <w:left w:val="none" w:sz="0" w:space="0" w:color="auto"/>
            <w:bottom w:val="none" w:sz="0" w:space="0" w:color="auto"/>
            <w:right w:val="none" w:sz="0" w:space="0" w:color="auto"/>
          </w:divBdr>
        </w:div>
        <w:div w:id="817458350">
          <w:marLeft w:val="0"/>
          <w:marRight w:val="0"/>
          <w:marTop w:val="0"/>
          <w:marBottom w:val="0"/>
          <w:divBdr>
            <w:top w:val="none" w:sz="0" w:space="0" w:color="auto"/>
            <w:left w:val="none" w:sz="0" w:space="0" w:color="auto"/>
            <w:bottom w:val="none" w:sz="0" w:space="0" w:color="auto"/>
            <w:right w:val="none" w:sz="0" w:space="0" w:color="auto"/>
          </w:divBdr>
        </w:div>
        <w:div w:id="951594619">
          <w:marLeft w:val="0"/>
          <w:marRight w:val="0"/>
          <w:marTop w:val="0"/>
          <w:marBottom w:val="0"/>
          <w:divBdr>
            <w:top w:val="none" w:sz="0" w:space="0" w:color="auto"/>
            <w:left w:val="none" w:sz="0" w:space="0" w:color="auto"/>
            <w:bottom w:val="none" w:sz="0" w:space="0" w:color="auto"/>
            <w:right w:val="none" w:sz="0" w:space="0" w:color="auto"/>
          </w:divBdr>
        </w:div>
        <w:div w:id="1095712571">
          <w:marLeft w:val="0"/>
          <w:marRight w:val="0"/>
          <w:marTop w:val="0"/>
          <w:marBottom w:val="0"/>
          <w:divBdr>
            <w:top w:val="none" w:sz="0" w:space="0" w:color="auto"/>
            <w:left w:val="none" w:sz="0" w:space="0" w:color="auto"/>
            <w:bottom w:val="none" w:sz="0" w:space="0" w:color="auto"/>
            <w:right w:val="none" w:sz="0" w:space="0" w:color="auto"/>
          </w:divBdr>
        </w:div>
        <w:div w:id="1348362394">
          <w:marLeft w:val="0"/>
          <w:marRight w:val="0"/>
          <w:marTop w:val="0"/>
          <w:marBottom w:val="0"/>
          <w:divBdr>
            <w:top w:val="none" w:sz="0" w:space="0" w:color="auto"/>
            <w:left w:val="none" w:sz="0" w:space="0" w:color="auto"/>
            <w:bottom w:val="none" w:sz="0" w:space="0" w:color="auto"/>
            <w:right w:val="none" w:sz="0" w:space="0" w:color="auto"/>
          </w:divBdr>
        </w:div>
        <w:div w:id="1459489483">
          <w:marLeft w:val="0"/>
          <w:marRight w:val="0"/>
          <w:marTop w:val="0"/>
          <w:marBottom w:val="0"/>
          <w:divBdr>
            <w:top w:val="none" w:sz="0" w:space="0" w:color="auto"/>
            <w:left w:val="none" w:sz="0" w:space="0" w:color="auto"/>
            <w:bottom w:val="none" w:sz="0" w:space="0" w:color="auto"/>
            <w:right w:val="none" w:sz="0" w:space="0" w:color="auto"/>
          </w:divBdr>
        </w:div>
        <w:div w:id="1617176839">
          <w:marLeft w:val="0"/>
          <w:marRight w:val="0"/>
          <w:marTop w:val="0"/>
          <w:marBottom w:val="0"/>
          <w:divBdr>
            <w:top w:val="none" w:sz="0" w:space="0" w:color="auto"/>
            <w:left w:val="none" w:sz="0" w:space="0" w:color="auto"/>
            <w:bottom w:val="none" w:sz="0" w:space="0" w:color="auto"/>
            <w:right w:val="none" w:sz="0" w:space="0" w:color="auto"/>
          </w:divBdr>
        </w:div>
        <w:div w:id="1698775750">
          <w:marLeft w:val="0"/>
          <w:marRight w:val="0"/>
          <w:marTop w:val="0"/>
          <w:marBottom w:val="0"/>
          <w:divBdr>
            <w:top w:val="none" w:sz="0" w:space="0" w:color="auto"/>
            <w:left w:val="none" w:sz="0" w:space="0" w:color="auto"/>
            <w:bottom w:val="none" w:sz="0" w:space="0" w:color="auto"/>
            <w:right w:val="none" w:sz="0" w:space="0" w:color="auto"/>
          </w:divBdr>
        </w:div>
        <w:div w:id="1712878752">
          <w:marLeft w:val="0"/>
          <w:marRight w:val="0"/>
          <w:marTop w:val="0"/>
          <w:marBottom w:val="0"/>
          <w:divBdr>
            <w:top w:val="none" w:sz="0" w:space="0" w:color="auto"/>
            <w:left w:val="none" w:sz="0" w:space="0" w:color="auto"/>
            <w:bottom w:val="none" w:sz="0" w:space="0" w:color="auto"/>
            <w:right w:val="none" w:sz="0" w:space="0" w:color="auto"/>
          </w:divBdr>
        </w:div>
        <w:div w:id="2053187446">
          <w:marLeft w:val="0"/>
          <w:marRight w:val="0"/>
          <w:marTop w:val="0"/>
          <w:marBottom w:val="0"/>
          <w:divBdr>
            <w:top w:val="none" w:sz="0" w:space="0" w:color="auto"/>
            <w:left w:val="none" w:sz="0" w:space="0" w:color="auto"/>
            <w:bottom w:val="none" w:sz="0" w:space="0" w:color="auto"/>
            <w:right w:val="none" w:sz="0" w:space="0" w:color="auto"/>
          </w:divBdr>
        </w:div>
      </w:divsChild>
    </w:div>
    <w:div w:id="1105492086">
      <w:bodyDiv w:val="1"/>
      <w:marLeft w:val="0"/>
      <w:marRight w:val="0"/>
      <w:marTop w:val="0"/>
      <w:marBottom w:val="0"/>
      <w:divBdr>
        <w:top w:val="none" w:sz="0" w:space="0" w:color="auto"/>
        <w:left w:val="none" w:sz="0" w:space="0" w:color="auto"/>
        <w:bottom w:val="none" w:sz="0" w:space="0" w:color="auto"/>
        <w:right w:val="none" w:sz="0" w:space="0" w:color="auto"/>
      </w:divBdr>
    </w:div>
    <w:div w:id="1211921610">
      <w:bodyDiv w:val="1"/>
      <w:marLeft w:val="0"/>
      <w:marRight w:val="0"/>
      <w:marTop w:val="0"/>
      <w:marBottom w:val="0"/>
      <w:divBdr>
        <w:top w:val="none" w:sz="0" w:space="0" w:color="auto"/>
        <w:left w:val="none" w:sz="0" w:space="0" w:color="auto"/>
        <w:bottom w:val="none" w:sz="0" w:space="0" w:color="auto"/>
        <w:right w:val="none" w:sz="0" w:space="0" w:color="auto"/>
      </w:divBdr>
    </w:div>
    <w:div w:id="1400861619">
      <w:bodyDiv w:val="1"/>
      <w:marLeft w:val="0"/>
      <w:marRight w:val="0"/>
      <w:marTop w:val="0"/>
      <w:marBottom w:val="0"/>
      <w:divBdr>
        <w:top w:val="none" w:sz="0" w:space="0" w:color="auto"/>
        <w:left w:val="none" w:sz="0" w:space="0" w:color="auto"/>
        <w:bottom w:val="none" w:sz="0" w:space="0" w:color="auto"/>
        <w:right w:val="none" w:sz="0" w:space="0" w:color="auto"/>
      </w:divBdr>
    </w:div>
    <w:div w:id="1460807920">
      <w:bodyDiv w:val="1"/>
      <w:marLeft w:val="0"/>
      <w:marRight w:val="0"/>
      <w:marTop w:val="0"/>
      <w:marBottom w:val="0"/>
      <w:divBdr>
        <w:top w:val="none" w:sz="0" w:space="0" w:color="auto"/>
        <w:left w:val="none" w:sz="0" w:space="0" w:color="auto"/>
        <w:bottom w:val="none" w:sz="0" w:space="0" w:color="auto"/>
        <w:right w:val="none" w:sz="0" w:space="0" w:color="auto"/>
      </w:divBdr>
    </w:div>
    <w:div w:id="1502240005">
      <w:bodyDiv w:val="1"/>
      <w:marLeft w:val="0"/>
      <w:marRight w:val="0"/>
      <w:marTop w:val="0"/>
      <w:marBottom w:val="0"/>
      <w:divBdr>
        <w:top w:val="none" w:sz="0" w:space="0" w:color="auto"/>
        <w:left w:val="none" w:sz="0" w:space="0" w:color="auto"/>
        <w:bottom w:val="none" w:sz="0" w:space="0" w:color="auto"/>
        <w:right w:val="none" w:sz="0" w:space="0" w:color="auto"/>
      </w:divBdr>
    </w:div>
    <w:div w:id="1682513135">
      <w:bodyDiv w:val="1"/>
      <w:marLeft w:val="0"/>
      <w:marRight w:val="0"/>
      <w:marTop w:val="0"/>
      <w:marBottom w:val="0"/>
      <w:divBdr>
        <w:top w:val="none" w:sz="0" w:space="0" w:color="auto"/>
        <w:left w:val="none" w:sz="0" w:space="0" w:color="auto"/>
        <w:bottom w:val="none" w:sz="0" w:space="0" w:color="auto"/>
        <w:right w:val="none" w:sz="0" w:space="0" w:color="auto"/>
      </w:divBdr>
    </w:div>
    <w:div w:id="1726098390">
      <w:bodyDiv w:val="1"/>
      <w:marLeft w:val="0"/>
      <w:marRight w:val="0"/>
      <w:marTop w:val="0"/>
      <w:marBottom w:val="0"/>
      <w:divBdr>
        <w:top w:val="none" w:sz="0" w:space="0" w:color="auto"/>
        <w:left w:val="none" w:sz="0" w:space="0" w:color="auto"/>
        <w:bottom w:val="none" w:sz="0" w:space="0" w:color="auto"/>
        <w:right w:val="none" w:sz="0" w:space="0" w:color="auto"/>
      </w:divBdr>
    </w:div>
    <w:div w:id="1827554882">
      <w:bodyDiv w:val="1"/>
      <w:marLeft w:val="0"/>
      <w:marRight w:val="0"/>
      <w:marTop w:val="0"/>
      <w:marBottom w:val="0"/>
      <w:divBdr>
        <w:top w:val="none" w:sz="0" w:space="0" w:color="auto"/>
        <w:left w:val="none" w:sz="0" w:space="0" w:color="auto"/>
        <w:bottom w:val="none" w:sz="0" w:space="0" w:color="auto"/>
        <w:right w:val="none" w:sz="0" w:space="0" w:color="auto"/>
      </w:divBdr>
    </w:div>
    <w:div w:id="20671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ighland.gov.uk/performance" TargetMode="External"/><Relationship Id="rId4" Type="http://schemas.microsoft.com/office/2007/relationships/stylesWithEffects" Target="stylesWithEffects.xml"/><Relationship Id="rId9" Type="http://schemas.openxmlformats.org/officeDocument/2006/relationships/hyperlink" Target="http://scotland.mylocalcouncil.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2919-0B75-4F15-A101-BD320C92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13</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SUTHERLAND COUNTY COMMITTEE – 18 JANUARY 1999</vt:lpstr>
    </vt:vector>
  </TitlesOfParts>
  <Company>ICL</Company>
  <LinksUpToDate>false</LinksUpToDate>
  <CharactersWithSpaces>30237</CharactersWithSpaces>
  <SharedDoc>false</SharedDoc>
  <HLinks>
    <vt:vector size="6" baseType="variant">
      <vt:variant>
        <vt:i4>5570642</vt:i4>
      </vt:variant>
      <vt:variant>
        <vt:i4>0</vt:i4>
      </vt:variant>
      <vt:variant>
        <vt:i4>0</vt:i4>
      </vt:variant>
      <vt:variant>
        <vt:i4>5</vt:i4>
      </vt:variant>
      <vt:variant>
        <vt:lpwstr>http://scotland.mylocalcouncil.info/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SUTHERLAND COUNTY COMMITTEE – 18 JANUARY 1999</dc:title>
  <dc:creator>Highland Council</dc:creator>
  <cp:lastModifiedBy>Brenda MacDonald</cp:lastModifiedBy>
  <cp:revision>2</cp:revision>
  <cp:lastPrinted>2016-02-02T11:59:00Z</cp:lastPrinted>
  <dcterms:created xsi:type="dcterms:W3CDTF">2016-03-30T10:12:00Z</dcterms:created>
  <dcterms:modified xsi:type="dcterms:W3CDTF">2016-03-30T10:12:00Z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-1298085731</vt:i4>
  </property>
  <property fmtid="{D5CDD505-2E9C-101B-9397-08002B2CF9AE}" pid="3" name="_NewReviewCycle">
    <vt:lpwstr/>
  </property>
  <property fmtid="{D5CDD505-2E9C-101B-9397-08002B2CF9AE}" pid="4" name="_EmailSubject">
    <vt:lpwstr>SPI reports on web</vt:lpwstr>
  </property>
  <property fmtid="{D5CDD505-2E9C-101B-9397-08002B2CF9AE}" pid="5" name="_AuthorEmail">
    <vt:lpwstr>Evelyn.Johnston@highland.gov.uk</vt:lpwstr>
  </property>
  <property fmtid="{D5CDD505-2E9C-101B-9397-08002B2CF9AE}" pid="6" name="_AuthorEmailDisplayName">
    <vt:lpwstr>Evelyn Johnston</vt:lpwstr>
  </property>
  <property fmtid="{D5CDD505-2E9C-101B-9397-08002B2CF9AE}" pid="7" name="_ReviewingToolsShownOnce">
    <vt:lpwstr/>
  </property>
</Properties>
</file>