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01" w:rsidRPr="002E35BA" w:rsidRDefault="00026534" w:rsidP="002E35BA">
      <w:pPr>
        <w:jc w:val="center"/>
        <w:rPr>
          <w:b/>
        </w:rPr>
      </w:pPr>
      <w:bookmarkStart w:id="0" w:name="_GoBack"/>
      <w:bookmarkEnd w:id="0"/>
      <w:r w:rsidRPr="002E35BA">
        <w:rPr>
          <w:b/>
        </w:rPr>
        <w:t>Redesign</w:t>
      </w:r>
      <w:r w:rsidR="002E35BA" w:rsidRPr="002E35BA">
        <w:rPr>
          <w:b/>
        </w:rPr>
        <w:t xml:space="preserve"> Board 10 October 2017</w:t>
      </w:r>
    </w:p>
    <w:p w:rsidR="0071470F" w:rsidRDefault="0071470F" w:rsidP="002E35BA">
      <w:pPr>
        <w:jc w:val="center"/>
      </w:pPr>
    </w:p>
    <w:p w:rsidR="002E35BA" w:rsidRDefault="002E35BA" w:rsidP="00D323F2">
      <w:pPr>
        <w:jc w:val="center"/>
        <w:rPr>
          <w:b/>
        </w:rPr>
      </w:pPr>
      <w:r w:rsidRPr="002E35BA">
        <w:rPr>
          <w:b/>
        </w:rPr>
        <w:t>Management</w:t>
      </w:r>
      <w:r>
        <w:rPr>
          <w:b/>
        </w:rPr>
        <w:t xml:space="preserve"> of Lets Project</w:t>
      </w:r>
      <w:r w:rsidR="00682350">
        <w:rPr>
          <w:b/>
        </w:rPr>
        <w:t xml:space="preserve"> – Discussion Paper</w:t>
      </w:r>
    </w:p>
    <w:p w:rsidR="00D323F2" w:rsidRPr="00D323F2" w:rsidRDefault="00D323F2" w:rsidP="00D323F2">
      <w:pPr>
        <w:jc w:val="center"/>
        <w:rPr>
          <w:b/>
        </w:rPr>
      </w:pPr>
    </w:p>
    <w:p w:rsidR="003A7D16" w:rsidRPr="00A7287D" w:rsidRDefault="003A7D16" w:rsidP="00D323F2">
      <w:pPr>
        <w:pBdr>
          <w:top w:val="single" w:sz="4" w:space="1" w:color="auto"/>
          <w:left w:val="single" w:sz="4" w:space="4" w:color="auto"/>
          <w:bottom w:val="single" w:sz="4" w:space="1" w:color="auto"/>
          <w:right w:val="single" w:sz="4" w:space="4" w:color="auto"/>
        </w:pBdr>
        <w:rPr>
          <w:b/>
        </w:rPr>
      </w:pPr>
      <w:r w:rsidRPr="00A7287D">
        <w:rPr>
          <w:b/>
        </w:rPr>
        <w:t xml:space="preserve">Summary </w:t>
      </w:r>
    </w:p>
    <w:p w:rsidR="003A7D16" w:rsidRDefault="003A7D16" w:rsidP="00D323F2">
      <w:pPr>
        <w:pBdr>
          <w:top w:val="single" w:sz="4" w:space="1" w:color="auto"/>
          <w:left w:val="single" w:sz="4" w:space="4" w:color="auto"/>
          <w:bottom w:val="single" w:sz="4" w:space="1" w:color="auto"/>
          <w:right w:val="single" w:sz="4" w:space="4" w:color="auto"/>
        </w:pBdr>
      </w:pPr>
    </w:p>
    <w:p w:rsidR="00771F42" w:rsidRDefault="00C614EA" w:rsidP="00D323F2">
      <w:pPr>
        <w:pBdr>
          <w:top w:val="single" w:sz="4" w:space="1" w:color="auto"/>
          <w:left w:val="single" w:sz="4" w:space="4" w:color="auto"/>
          <w:bottom w:val="single" w:sz="4" w:space="1" w:color="auto"/>
          <w:right w:val="single" w:sz="4" w:space="4" w:color="auto"/>
        </w:pBdr>
      </w:pPr>
      <w:r>
        <w:t>Thi</w:t>
      </w:r>
      <w:r w:rsidR="003A7D16">
        <w:t>s report</w:t>
      </w:r>
      <w:r w:rsidR="00A25641">
        <w:t xml:space="preserve"> outlines the progress made to d</w:t>
      </w:r>
      <w:r w:rsidR="003A7D16">
        <w:t xml:space="preserve">ate with redesigning </w:t>
      </w:r>
      <w:r w:rsidR="00A25641">
        <w:t>the management</w:t>
      </w:r>
      <w:r w:rsidR="003A7D16">
        <w:t xml:space="preserve"> of school lets. The redesign of the let bookings process, </w:t>
      </w:r>
      <w:r w:rsidR="00A25641">
        <w:t xml:space="preserve">undertaken as a Lean project is </w:t>
      </w:r>
      <w:r w:rsidR="003A7D16">
        <w:t>r</w:t>
      </w:r>
      <w:r w:rsidR="00A25641">
        <w:t>e</w:t>
      </w:r>
      <w:r w:rsidR="003A7D16">
        <w:t>ported</w:t>
      </w:r>
      <w:r w:rsidR="00F40DF5">
        <w:t xml:space="preserve"> to the Redesign Board</w:t>
      </w:r>
      <w:r w:rsidR="00A25641">
        <w:t xml:space="preserve"> separately. This report outlines </w:t>
      </w:r>
      <w:r w:rsidR="00771F42">
        <w:t>proposals</w:t>
      </w:r>
      <w:r w:rsidR="00F40DF5">
        <w:t xml:space="preserve"> for </w:t>
      </w:r>
      <w:r w:rsidR="00A25641">
        <w:t>future lets pricing</w:t>
      </w:r>
      <w:r w:rsidR="00F40DF5">
        <w:t xml:space="preserve"> and for </w:t>
      </w:r>
      <w:r w:rsidR="00951F9D">
        <w:t>making more efficient use</w:t>
      </w:r>
      <w:r w:rsidR="003A7D16">
        <w:t xml:space="preserve"> of</w:t>
      </w:r>
      <w:r w:rsidR="00951F9D">
        <w:t xml:space="preserve"> the</w:t>
      </w:r>
      <w:r w:rsidR="003A7D16">
        <w:t xml:space="preserve"> schools </w:t>
      </w:r>
      <w:r w:rsidR="00A25641">
        <w:t>available</w:t>
      </w:r>
      <w:r w:rsidR="003A7D16">
        <w:t xml:space="preserve"> for lets. </w:t>
      </w:r>
      <w:r w:rsidR="00F40DF5">
        <w:t xml:space="preserve">While school lets are </w:t>
      </w:r>
      <w:r w:rsidR="00A25641">
        <w:t>relatively minor i</w:t>
      </w:r>
      <w:r w:rsidR="00F40DF5">
        <w:t xml:space="preserve">n </w:t>
      </w:r>
      <w:r w:rsidR="00A25641">
        <w:t>financial</w:t>
      </w:r>
      <w:r w:rsidR="00F40DF5">
        <w:t xml:space="preserve"> terms, they have the </w:t>
      </w:r>
      <w:r w:rsidR="00A25641">
        <w:t>potential</w:t>
      </w:r>
      <w:r w:rsidR="00F40DF5">
        <w:t xml:space="preserve"> to creat</w:t>
      </w:r>
      <w:r w:rsidR="00A25641">
        <w:t>e political difficulties, partic</w:t>
      </w:r>
      <w:r w:rsidR="00F40DF5">
        <w:t xml:space="preserve">ularly </w:t>
      </w:r>
      <w:r w:rsidR="00A25641">
        <w:t>locally.  Given this, Redesign B</w:t>
      </w:r>
      <w:r w:rsidR="00951F9D">
        <w:t xml:space="preserve">oard is asked for views and </w:t>
      </w:r>
      <w:r w:rsidR="00771F42">
        <w:t>comment</w:t>
      </w:r>
      <w:r w:rsidR="00F40DF5">
        <w:t xml:space="preserve"> on </w:t>
      </w:r>
      <w:r w:rsidR="00771F42">
        <w:t>these proposals, which will be amended accordingly</w:t>
      </w:r>
      <w:r w:rsidR="00951F9D">
        <w:t xml:space="preserve">, and </w:t>
      </w:r>
      <w:r w:rsidR="00684057">
        <w:t xml:space="preserve">where required </w:t>
      </w:r>
      <w:r w:rsidR="00951F9D">
        <w:t>repo</w:t>
      </w:r>
      <w:r w:rsidR="00684057">
        <w:t>rted to Committee</w:t>
      </w:r>
      <w:r w:rsidR="00951F9D">
        <w:t xml:space="preserve"> before implementation</w:t>
      </w:r>
      <w:r w:rsidR="00771F42">
        <w:t>.</w:t>
      </w:r>
    </w:p>
    <w:p w:rsidR="003A7D16" w:rsidRDefault="003A7D16"/>
    <w:p w:rsidR="0071470F" w:rsidRPr="0080245C" w:rsidRDefault="0080245C" w:rsidP="00566E34">
      <w:pPr>
        <w:pStyle w:val="Heading2"/>
      </w:pPr>
      <w:r w:rsidRPr="0080245C">
        <w:t>1</w:t>
      </w:r>
      <w:r w:rsidRPr="0080245C">
        <w:tab/>
      </w:r>
      <w:r w:rsidR="0071470F" w:rsidRPr="0080245C">
        <w:t xml:space="preserve">Introduction </w:t>
      </w:r>
    </w:p>
    <w:p w:rsidR="0071470F" w:rsidRDefault="0071470F"/>
    <w:p w:rsidR="0053302E" w:rsidRDefault="0053302E">
      <w:r>
        <w:t>On 18</w:t>
      </w:r>
      <w:r w:rsidR="005F59F8">
        <w:t xml:space="preserve"> October 2016 The R</w:t>
      </w:r>
      <w:r w:rsidR="0071470F">
        <w:t>edes</w:t>
      </w:r>
      <w:r w:rsidR="00771F42">
        <w:t xml:space="preserve">ign Board considered a business case for </w:t>
      </w:r>
      <w:r w:rsidR="00860FE8">
        <w:t xml:space="preserve">the transfer </w:t>
      </w:r>
      <w:r>
        <w:t xml:space="preserve">of </w:t>
      </w:r>
      <w:r w:rsidR="0071470F">
        <w:t>Catering</w:t>
      </w:r>
      <w:r w:rsidR="0080245C">
        <w:t>,</w:t>
      </w:r>
      <w:r w:rsidR="0071470F">
        <w:t xml:space="preserve"> Clea</w:t>
      </w:r>
      <w:r w:rsidR="0080245C">
        <w:t>ning and</w:t>
      </w:r>
      <w:r w:rsidR="0071470F">
        <w:t xml:space="preserve"> Facilit</w:t>
      </w:r>
      <w:r w:rsidR="0080245C">
        <w:t>ies Managem</w:t>
      </w:r>
      <w:r w:rsidR="0071470F">
        <w:t>ent</w:t>
      </w:r>
      <w:r w:rsidR="005F59F8">
        <w:t xml:space="preserve"> (CCFM)</w:t>
      </w:r>
      <w:r w:rsidR="0080245C">
        <w:t xml:space="preserve"> </w:t>
      </w:r>
      <w:r w:rsidR="0071470F">
        <w:t>a</w:t>
      </w:r>
      <w:r w:rsidR="0080245C">
        <w:t>n</w:t>
      </w:r>
      <w:r w:rsidR="0071470F">
        <w:t xml:space="preserve">d </w:t>
      </w:r>
      <w:r w:rsidR="0080245C">
        <w:t>secondary s</w:t>
      </w:r>
      <w:r w:rsidR="0071470F">
        <w:t xml:space="preserve">chool </w:t>
      </w:r>
      <w:r w:rsidR="0080245C">
        <w:t>Janitors</w:t>
      </w:r>
      <w:r>
        <w:t xml:space="preserve"> from Care and Learning to either High Life Highland or Development and Infrastructure</w:t>
      </w:r>
      <w:r w:rsidR="00860FE8">
        <w:t>.</w:t>
      </w:r>
      <w:r w:rsidR="002C7401">
        <w:t xml:space="preserve"> </w:t>
      </w:r>
      <w:r w:rsidR="00860FE8">
        <w:t xml:space="preserve">The transfer </w:t>
      </w:r>
      <w:r w:rsidR="00907609">
        <w:t>include</w:t>
      </w:r>
      <w:r w:rsidR="00860FE8">
        <w:t>d</w:t>
      </w:r>
      <w:r w:rsidR="002C7401">
        <w:t xml:space="preserve"> </w:t>
      </w:r>
      <w:r w:rsidR="00907609">
        <w:t>responsibility</w:t>
      </w:r>
      <w:r w:rsidR="002C7401">
        <w:t xml:space="preserve"> for the </w:t>
      </w:r>
      <w:r w:rsidR="00907609">
        <w:t>management</w:t>
      </w:r>
      <w:r w:rsidR="002C7401">
        <w:t xml:space="preserve"> of lets, </w:t>
      </w:r>
      <w:r w:rsidR="00907609">
        <w:t>itself subject to</w:t>
      </w:r>
      <w:r w:rsidR="002C7401">
        <w:t xml:space="preserve"> an ongoing </w:t>
      </w:r>
      <w:r w:rsidR="00907609">
        <w:t xml:space="preserve">review in Care and Learning. </w:t>
      </w:r>
      <w:r>
        <w:t>On 27 October</w:t>
      </w:r>
      <w:r w:rsidR="00684057">
        <w:t xml:space="preserve"> 2016</w:t>
      </w:r>
      <w:r>
        <w:t>, full Council agreed</w:t>
      </w:r>
      <w:r w:rsidRPr="0053302E">
        <w:t xml:space="preserve"> the recommendation of the Redesign Boa</w:t>
      </w:r>
      <w:r w:rsidR="00684057">
        <w:t>rd for the transfer of CCFM</w:t>
      </w:r>
      <w:r w:rsidRPr="0053302E">
        <w:t xml:space="preserve"> and Janitorial Se</w:t>
      </w:r>
      <w:r w:rsidR="00951F9D">
        <w:t>rvices to the D&amp;I</w:t>
      </w:r>
      <w:r w:rsidRPr="0053302E">
        <w:t xml:space="preserve"> with effect from April 2017.</w:t>
      </w:r>
    </w:p>
    <w:p w:rsidR="0053302E" w:rsidRDefault="0053302E"/>
    <w:p w:rsidR="00F947CF" w:rsidRDefault="00F947CF">
      <w:r>
        <w:t>The</w:t>
      </w:r>
      <w:r w:rsidR="00684057">
        <w:t xml:space="preserve"> transfer i</w:t>
      </w:r>
      <w:r w:rsidR="0053302E">
        <w:t>s now com</w:t>
      </w:r>
      <w:r w:rsidR="00684057">
        <w:t>plete</w:t>
      </w:r>
      <w:r>
        <w:t>,</w:t>
      </w:r>
      <w:r w:rsidR="00260447">
        <w:t xml:space="preserve"> with the creation of a comprehensive Property and Facilities M</w:t>
      </w:r>
      <w:r w:rsidR="00771F42">
        <w:t>anagement (PFM) service in D&amp;I.</w:t>
      </w:r>
      <w:r>
        <w:t xml:space="preserve"> With regards to the responsibility for the management of lets, a project </w:t>
      </w:r>
      <w:r w:rsidR="00860FE8">
        <w:t>was</w:t>
      </w:r>
      <w:r w:rsidR="00771F42">
        <w:t xml:space="preserve"> set up to complete the lets review </w:t>
      </w:r>
      <w:r>
        <w:t xml:space="preserve">and to create a new lets management system.  </w:t>
      </w:r>
    </w:p>
    <w:p w:rsidR="00F947CF" w:rsidRDefault="00F947CF"/>
    <w:p w:rsidR="0080245C" w:rsidRPr="0080245C" w:rsidRDefault="0080245C" w:rsidP="00566E34">
      <w:pPr>
        <w:pStyle w:val="Heading2"/>
      </w:pPr>
      <w:r w:rsidRPr="0080245C">
        <w:t>2</w:t>
      </w:r>
      <w:r w:rsidRPr="0080245C">
        <w:tab/>
        <w:t>Management of Lets Project</w:t>
      </w:r>
    </w:p>
    <w:p w:rsidR="002C7401" w:rsidRDefault="002C7401" w:rsidP="002C7401"/>
    <w:p w:rsidR="00EF0124" w:rsidRPr="002F22A5" w:rsidRDefault="00A6715C" w:rsidP="00EF0124">
      <w:r>
        <w:t>The</w:t>
      </w:r>
      <w:r w:rsidR="00EF0124" w:rsidRPr="002F22A5">
        <w:t xml:space="preserve"> objectives of the project are:</w:t>
      </w:r>
    </w:p>
    <w:p w:rsidR="00EF0124" w:rsidRPr="002F22A5" w:rsidRDefault="00EF0124" w:rsidP="00EF0124">
      <w:pPr>
        <w:numPr>
          <w:ilvl w:val="0"/>
          <w:numId w:val="23"/>
        </w:numPr>
        <w:contextualSpacing/>
      </w:pPr>
      <w:r w:rsidRPr="002F22A5">
        <w:t>Increase public and community use of schools and other Council buildings</w:t>
      </w:r>
    </w:p>
    <w:p w:rsidR="00EF0124" w:rsidRPr="002F22A5" w:rsidRDefault="00EF0124" w:rsidP="00EF0124">
      <w:pPr>
        <w:numPr>
          <w:ilvl w:val="0"/>
          <w:numId w:val="23"/>
        </w:numPr>
        <w:contextualSpacing/>
      </w:pPr>
      <w:r w:rsidRPr="002F22A5">
        <w:t>Generate income to cover both the full cost of providing the service and earn income for the Council</w:t>
      </w:r>
    </w:p>
    <w:p w:rsidR="00EF0124" w:rsidRPr="002F22A5" w:rsidRDefault="00EF0124" w:rsidP="00EF0124">
      <w:pPr>
        <w:numPr>
          <w:ilvl w:val="0"/>
          <w:numId w:val="23"/>
        </w:numPr>
        <w:contextualSpacing/>
      </w:pPr>
      <w:r w:rsidRPr="002F22A5">
        <w:t>Provide a quick and efficient lets booking system</w:t>
      </w:r>
    </w:p>
    <w:p w:rsidR="00EF0124" w:rsidRPr="002F22A5" w:rsidRDefault="00EF0124" w:rsidP="00EF0124">
      <w:pPr>
        <w:numPr>
          <w:ilvl w:val="0"/>
          <w:numId w:val="23"/>
        </w:numPr>
        <w:contextualSpacing/>
      </w:pPr>
      <w:r w:rsidRPr="002F22A5">
        <w:t>Provide a seamless approach alongside HLH and PPP schools</w:t>
      </w:r>
    </w:p>
    <w:p w:rsidR="00EF0124" w:rsidRPr="002F22A5" w:rsidRDefault="00EF0124" w:rsidP="00EF0124">
      <w:pPr>
        <w:numPr>
          <w:ilvl w:val="0"/>
          <w:numId w:val="23"/>
        </w:numPr>
        <w:contextualSpacing/>
      </w:pPr>
      <w:r w:rsidRPr="002F22A5">
        <w:t>Reduce the administrative burden on HTs, school offices, RPOs</w:t>
      </w:r>
      <w:r w:rsidR="00C116FC">
        <w:t>.</w:t>
      </w:r>
    </w:p>
    <w:p w:rsidR="00340CB7" w:rsidRDefault="00340CB7" w:rsidP="002C7401"/>
    <w:p w:rsidR="002C7401" w:rsidRDefault="002C7401" w:rsidP="002C7401">
      <w:r>
        <w:t xml:space="preserve">The project comprises the following four areas of work: </w:t>
      </w:r>
    </w:p>
    <w:p w:rsidR="002C7401" w:rsidRPr="00CF3242" w:rsidRDefault="002C7401" w:rsidP="002C7401">
      <w:pPr>
        <w:pStyle w:val="ListParagraph"/>
        <w:numPr>
          <w:ilvl w:val="0"/>
          <w:numId w:val="17"/>
        </w:numPr>
      </w:pPr>
      <w:r w:rsidRPr="00CF3242">
        <w:t xml:space="preserve">Rationalise </w:t>
      </w:r>
      <w:r w:rsidR="00A6715C">
        <w:t>properties available for lets</w:t>
      </w:r>
    </w:p>
    <w:p w:rsidR="002C7401" w:rsidRPr="00CF3242" w:rsidRDefault="002C7401" w:rsidP="002C7401">
      <w:pPr>
        <w:pStyle w:val="ListParagraph"/>
        <w:numPr>
          <w:ilvl w:val="0"/>
          <w:numId w:val="17"/>
        </w:numPr>
        <w:rPr>
          <w:szCs w:val="22"/>
        </w:rPr>
      </w:pPr>
      <w:r w:rsidRPr="00CF3242">
        <w:rPr>
          <w:szCs w:val="22"/>
        </w:rPr>
        <w:t>Income and charging</w:t>
      </w:r>
    </w:p>
    <w:p w:rsidR="002C7401" w:rsidRPr="00CF3242" w:rsidRDefault="002C7401" w:rsidP="002C7401">
      <w:pPr>
        <w:pStyle w:val="ListParagraph"/>
        <w:numPr>
          <w:ilvl w:val="0"/>
          <w:numId w:val="17"/>
        </w:numPr>
      </w:pPr>
      <w:r w:rsidRPr="00CF3242">
        <w:lastRenderedPageBreak/>
        <w:t>Design an improved process for booking</w:t>
      </w:r>
    </w:p>
    <w:p w:rsidR="002C7401" w:rsidRPr="00CF3242" w:rsidRDefault="002C7401" w:rsidP="002C7401">
      <w:pPr>
        <w:pStyle w:val="ListParagraph"/>
        <w:numPr>
          <w:ilvl w:val="0"/>
          <w:numId w:val="17"/>
        </w:numPr>
      </w:pPr>
      <w:r w:rsidRPr="00CF3242">
        <w:t>Develop the letting business</w:t>
      </w:r>
      <w:r w:rsidR="00C116FC">
        <w:t>.</w:t>
      </w:r>
    </w:p>
    <w:p w:rsidR="002C7401" w:rsidRDefault="002C7401" w:rsidP="002C7401">
      <w:pPr>
        <w:pStyle w:val="Heading2"/>
      </w:pPr>
    </w:p>
    <w:p w:rsidR="002C7401" w:rsidRPr="00AC4360" w:rsidRDefault="002C7401" w:rsidP="00566E34">
      <w:pPr>
        <w:pStyle w:val="Heading2"/>
      </w:pPr>
      <w:r>
        <w:t>1.2</w:t>
      </w:r>
      <w:r>
        <w:tab/>
        <w:t>Current Management of Lets</w:t>
      </w:r>
    </w:p>
    <w:p w:rsidR="002C7401" w:rsidRDefault="002C7401" w:rsidP="002C7401"/>
    <w:p w:rsidR="002C7401" w:rsidRDefault="002C7401" w:rsidP="002C7401">
      <w:r>
        <w:t>HC lets school facilities to internal and external users outwith school hours (evenings and weekends). The arrangements depend on the type of school:</w:t>
      </w:r>
    </w:p>
    <w:p w:rsidR="001343D2" w:rsidRDefault="001343D2" w:rsidP="001343D2">
      <w:pPr>
        <w:pStyle w:val="ListParagraph"/>
        <w:numPr>
          <w:ilvl w:val="0"/>
          <w:numId w:val="14"/>
        </w:numPr>
      </w:pPr>
      <w:r>
        <w:t>In PPP schools (15 schools financed through Public Private Partnerships), lets are mostly booked through the Council and are facilitated by the contracted FM service providers (Mears or Mitie)</w:t>
      </w:r>
    </w:p>
    <w:p w:rsidR="002C7401" w:rsidRDefault="00860FE8" w:rsidP="002C7401">
      <w:pPr>
        <w:pStyle w:val="ListParagraph"/>
        <w:numPr>
          <w:ilvl w:val="0"/>
          <w:numId w:val="14"/>
        </w:numPr>
      </w:pPr>
      <w:r>
        <w:t>In non-PPP</w:t>
      </w:r>
      <w:r w:rsidR="002C7401">
        <w:t xml:space="preserve"> schools lets a</w:t>
      </w:r>
      <w:r>
        <w:t>re booked through the Council (School O</w:t>
      </w:r>
      <w:r w:rsidR="002C7401">
        <w:t>ffice and Business Support) and facilitated (open, set up</w:t>
      </w:r>
      <w:r w:rsidR="00E7193E">
        <w:t>,</w:t>
      </w:r>
      <w:r>
        <w:t xml:space="preserve"> close etc.) by PFM</w:t>
      </w:r>
      <w:r w:rsidR="002C7401">
        <w:t xml:space="preserve"> staff</w:t>
      </w:r>
    </w:p>
    <w:p w:rsidR="002C7401" w:rsidRDefault="00860FE8" w:rsidP="002C7401">
      <w:pPr>
        <w:pStyle w:val="ListParagraph"/>
        <w:numPr>
          <w:ilvl w:val="0"/>
          <w:numId w:val="14"/>
        </w:numPr>
      </w:pPr>
      <w:r>
        <w:t>In some PPP and non-PPP</w:t>
      </w:r>
      <w:r w:rsidR="002C7401">
        <w:t xml:space="preserve"> schools lets are managed by H</w:t>
      </w:r>
      <w:r>
        <w:t xml:space="preserve">igh </w:t>
      </w:r>
      <w:r w:rsidR="002C7401">
        <w:t>L</w:t>
      </w:r>
      <w:r>
        <w:t xml:space="preserve">ife </w:t>
      </w:r>
      <w:r w:rsidR="002C7401">
        <w:t>H</w:t>
      </w:r>
      <w:r>
        <w:t>ighland (HLH)</w:t>
      </w:r>
      <w:r w:rsidR="002C7401">
        <w:t xml:space="preserve">. This mostly </w:t>
      </w:r>
      <w:r w:rsidR="00D3705F">
        <w:t>applies to the leisure facilities</w:t>
      </w:r>
      <w:r w:rsidR="002C7401">
        <w:t xml:space="preserve"> attached to community (secondary) schools although there are also primary schools where lets are managed by HLH (e.g. Ben Wyvis). </w:t>
      </w:r>
    </w:p>
    <w:p w:rsidR="002C7401" w:rsidRDefault="002C7401" w:rsidP="002C7401"/>
    <w:p w:rsidR="002C7401" w:rsidRDefault="00860FE8" w:rsidP="002C7401">
      <w:r>
        <w:t>Lets charges are broadly in line with</w:t>
      </w:r>
      <w:r w:rsidR="002C7401">
        <w:t xml:space="preserve"> 2009 Council po</w:t>
      </w:r>
      <w:r w:rsidR="00A8606E">
        <w:t>licy which standardised prices charged for</w:t>
      </w:r>
      <w:r w:rsidR="002C7401">
        <w:t xml:space="preserve"> sporting facilities, meeting rooms, halls and theatres</w:t>
      </w:r>
      <w:r w:rsidR="00A8606E" w:rsidRPr="00A8606E">
        <w:t xml:space="preserve"> </w:t>
      </w:r>
      <w:r w:rsidR="00A8606E">
        <w:t>at schools and leisure centres</w:t>
      </w:r>
      <w:r w:rsidR="002C7401">
        <w:t>. The policy introduced charging bands for community groups</w:t>
      </w:r>
      <w:r w:rsidR="00A8606E">
        <w:t xml:space="preserve"> (“Band A”)</w:t>
      </w:r>
      <w:r w:rsidR="002C7401">
        <w:t>, and for semi-commercial</w:t>
      </w:r>
      <w:r w:rsidR="00A8606E">
        <w:t xml:space="preserve"> (“Band B”)</w:t>
      </w:r>
      <w:r w:rsidR="002C7401">
        <w:t xml:space="preserve"> and commercial operators </w:t>
      </w:r>
      <w:r w:rsidR="00A8606E">
        <w:t xml:space="preserve">(“Band C”) </w:t>
      </w:r>
      <w:r w:rsidR="002C7401">
        <w:t>as well as 50% discounts for activities exclusively for under 18s, full time students and over 60s (see Appendix 1 for current price list). High Life Highland charges for let</w:t>
      </w:r>
      <w:r w:rsidR="00D3705F">
        <w:t>s are based on the</w:t>
      </w:r>
      <w:r w:rsidR="00A8606E">
        <w:t xml:space="preserve"> same policy, </w:t>
      </w:r>
      <w:r>
        <w:t>however</w:t>
      </w:r>
      <w:r w:rsidR="00A8606E">
        <w:t xml:space="preserve"> different</w:t>
      </w:r>
      <w:r w:rsidR="00D3705F">
        <w:t xml:space="preserve"> year on year increases</w:t>
      </w:r>
      <w:r w:rsidR="00A8606E">
        <w:t xml:space="preserve"> have b</w:t>
      </w:r>
      <w:r w:rsidR="00684057">
        <w:t>ee</w:t>
      </w:r>
      <w:r w:rsidR="00A8606E">
        <w:t xml:space="preserve">n applied </w:t>
      </w:r>
      <w:r w:rsidR="00684057">
        <w:t xml:space="preserve">by HC and HLH </w:t>
      </w:r>
      <w:r w:rsidR="00A8606E">
        <w:t>in the intervening period</w:t>
      </w:r>
      <w:r>
        <w:t>,</w:t>
      </w:r>
      <w:r w:rsidR="00A8606E">
        <w:t xml:space="preserve"> leading to a divergence in</w:t>
      </w:r>
      <w:r w:rsidR="00D3705F">
        <w:t xml:space="preserve"> pricing. </w:t>
      </w:r>
    </w:p>
    <w:p w:rsidR="002C7401" w:rsidRDefault="002C7401" w:rsidP="002C7401"/>
    <w:p w:rsidR="002C7401" w:rsidRPr="00AC4360" w:rsidRDefault="002C7401" w:rsidP="00566E34">
      <w:pPr>
        <w:pStyle w:val="Heading2"/>
      </w:pPr>
      <w:r>
        <w:t>1.3</w:t>
      </w:r>
      <w:r w:rsidRPr="00AC4360">
        <w:tab/>
      </w:r>
      <w:r>
        <w:t>Profile of C</w:t>
      </w:r>
      <w:r w:rsidRPr="00AC4360">
        <w:t xml:space="preserve">urrent Lets </w:t>
      </w:r>
    </w:p>
    <w:p w:rsidR="002C7401" w:rsidRDefault="002C7401" w:rsidP="002C7401"/>
    <w:p w:rsidR="00A8606E" w:rsidRDefault="00860FE8" w:rsidP="00A8606E">
      <w:pPr>
        <w:pStyle w:val="ListParagraph"/>
        <w:numPr>
          <w:ilvl w:val="0"/>
          <w:numId w:val="8"/>
        </w:numPr>
      </w:pPr>
      <w:r>
        <w:t>In 2016/17 there were a</w:t>
      </w:r>
      <w:r w:rsidR="002C7401">
        <w:t xml:space="preserve"> total of 10,206 lets in non-PPP schools and a further  3,153 in PPP schools giving a total of 13,359. The total duration was 33,074 hours (average duration of approx. 2.5 hours)   </w:t>
      </w:r>
    </w:p>
    <w:p w:rsidR="002C7401" w:rsidRDefault="002C7401" w:rsidP="002C7401">
      <w:pPr>
        <w:pStyle w:val="ListParagraph"/>
        <w:numPr>
          <w:ilvl w:val="0"/>
          <w:numId w:val="8"/>
        </w:numPr>
      </w:pPr>
      <w:r>
        <w:t>Lets took place in 96 schools (roughly half of all Highland schools) although only 30 schools hosted more than 100 lets per year: roughly 3 per we</w:t>
      </w:r>
      <w:r w:rsidR="00C116FC">
        <w:t>ek in term time (38 weeks)</w:t>
      </w:r>
    </w:p>
    <w:p w:rsidR="002C7401" w:rsidRDefault="002C7401" w:rsidP="002C7401">
      <w:pPr>
        <w:pStyle w:val="ListParagraph"/>
        <w:numPr>
          <w:ilvl w:val="0"/>
          <w:numId w:val="8"/>
        </w:numPr>
      </w:pPr>
      <w:r>
        <w:t>The majority of lets (70%) take place in schools in Inverness and Nairn ASGs. There is also significant letting activity in Thurso</w:t>
      </w:r>
      <w:r w:rsidR="00684057">
        <w:t xml:space="preserve">, Fortrose and Invergordon </w:t>
      </w:r>
      <w:r>
        <w:t>ASG</w:t>
      </w:r>
      <w:r w:rsidR="00684057">
        <w:t>s</w:t>
      </w:r>
    </w:p>
    <w:p w:rsidR="002C7401" w:rsidRDefault="002C7401" w:rsidP="002C7401">
      <w:pPr>
        <w:pStyle w:val="ListParagraph"/>
        <w:numPr>
          <w:ilvl w:val="0"/>
          <w:numId w:val="8"/>
        </w:numPr>
      </w:pPr>
      <w:r>
        <w:t>Lets are mainly for classrooms/meeting rooms (31%), small halls (30%), large halls (22%) and sports pitche</w:t>
      </w:r>
      <w:r w:rsidR="00C116FC">
        <w:t>s (grass and all weather) (12%)</w:t>
      </w:r>
    </w:p>
    <w:p w:rsidR="000B1A7D" w:rsidRPr="00C15A38" w:rsidRDefault="000B1A7D" w:rsidP="002C7401">
      <w:pPr>
        <w:pStyle w:val="ListParagraph"/>
        <w:numPr>
          <w:ilvl w:val="0"/>
          <w:numId w:val="8"/>
        </w:numPr>
      </w:pPr>
      <w:r w:rsidRPr="00C15A38">
        <w:t>Lets appear to be declining. Full financial year data is only available from April 2016, however a report to ECAS in August 2014 estimated annual use at 50,000 hrs based on data gathered Aug 2013 to April 2014</w:t>
      </w:r>
      <w:r w:rsidR="00D323F2">
        <w:t>. Compared with 16/17</w:t>
      </w:r>
      <w:r w:rsidR="00684057" w:rsidRPr="00C15A38">
        <w:t xml:space="preserve"> volumes, t</w:t>
      </w:r>
      <w:r w:rsidRPr="00C15A38">
        <w:t>his indicates a dec</w:t>
      </w:r>
      <w:r w:rsidR="00D323F2">
        <w:t>line of one third over</w:t>
      </w:r>
      <w:r w:rsidRPr="00C15A38">
        <w:t xml:space="preserve"> 4 years.</w:t>
      </w:r>
      <w:r w:rsidR="00D323F2">
        <w:t xml:space="preserve"> A </w:t>
      </w:r>
      <w:r w:rsidR="00D323F2">
        <w:lastRenderedPageBreak/>
        <w:t>comparison of lets Apr-Sept 16/17 with Apr-Sept17/18</w:t>
      </w:r>
      <w:r w:rsidR="004B0EF6">
        <w:t xml:space="preserve"> (see Section 5.2)</w:t>
      </w:r>
      <w:r w:rsidR="00D323F2">
        <w:t xml:space="preserve"> indicates a further decline of 25% in the number of lets. </w:t>
      </w:r>
    </w:p>
    <w:p w:rsidR="002C7401" w:rsidRDefault="002C7401" w:rsidP="002C7401"/>
    <w:p w:rsidR="002C7401" w:rsidRPr="00AC4360" w:rsidRDefault="002C7401" w:rsidP="00566E34">
      <w:pPr>
        <w:pStyle w:val="Heading2"/>
      </w:pPr>
      <w:r w:rsidRPr="00AC4360">
        <w:t>1</w:t>
      </w:r>
      <w:r>
        <w:t>.4</w:t>
      </w:r>
      <w:r>
        <w:tab/>
        <w:t>Lets Income and Costs</w:t>
      </w:r>
    </w:p>
    <w:p w:rsidR="002C7401" w:rsidRDefault="002C7401" w:rsidP="002C7401"/>
    <w:p w:rsidR="002C7401" w:rsidRPr="0066747E" w:rsidRDefault="002C7401" w:rsidP="002C7401">
      <w:pPr>
        <w:rPr>
          <w:u w:val="single"/>
        </w:rPr>
      </w:pPr>
      <w:r w:rsidRPr="0066747E">
        <w:rPr>
          <w:u w:val="single"/>
        </w:rPr>
        <w:t>Income</w:t>
      </w:r>
    </w:p>
    <w:p w:rsidR="002C7401" w:rsidRDefault="002C7401" w:rsidP="005F2040">
      <w:pPr>
        <w:pStyle w:val="ListParagraph"/>
        <w:numPr>
          <w:ilvl w:val="0"/>
          <w:numId w:val="45"/>
        </w:numPr>
      </w:pPr>
      <w:r>
        <w:t xml:space="preserve">The total income for 10,206 lets in 89 non-PPP schools was </w:t>
      </w:r>
      <w:r w:rsidRPr="00C75D0B">
        <w:t>£138,660</w:t>
      </w:r>
      <w:r>
        <w:t xml:space="preserve"> (average £13.59 per let or £5.66 per hour)</w:t>
      </w:r>
    </w:p>
    <w:p w:rsidR="002C7401" w:rsidRDefault="002C7401" w:rsidP="002C7401">
      <w:pPr>
        <w:pStyle w:val="ListParagraph"/>
        <w:numPr>
          <w:ilvl w:val="0"/>
          <w:numId w:val="9"/>
        </w:numPr>
      </w:pPr>
      <w:r>
        <w:t xml:space="preserve">The total income for 3,153 lets in 7 PPP schools was </w:t>
      </w:r>
      <w:r w:rsidRPr="00C75D0B">
        <w:t>£79,905</w:t>
      </w:r>
      <w:r>
        <w:t xml:space="preserve"> (average £25.34 per let or £9.33 per hour). Millburn Academy alone generated </w:t>
      </w:r>
      <w:r w:rsidRPr="00C75D0B">
        <w:t>£60,139</w:t>
      </w:r>
    </w:p>
    <w:p w:rsidR="002C7401" w:rsidRPr="00D86700" w:rsidRDefault="002C7401" w:rsidP="002C7401">
      <w:pPr>
        <w:pStyle w:val="ListParagraph"/>
        <w:numPr>
          <w:ilvl w:val="0"/>
          <w:numId w:val="9"/>
        </w:numPr>
      </w:pPr>
      <w:r>
        <w:t>6,647</w:t>
      </w:r>
      <w:r w:rsidR="00A6715C">
        <w:t xml:space="preserve"> lets</w:t>
      </w:r>
      <w:r w:rsidR="00860FE8">
        <w:t>, half of all lets,</w:t>
      </w:r>
      <w:r w:rsidR="001343D2">
        <w:t xml:space="preserve"> </w:t>
      </w:r>
      <w:r w:rsidR="00FC2E3A">
        <w:t>were not charged for</w:t>
      </w:r>
      <w:r w:rsidR="001343D2">
        <w:t>.</w:t>
      </w:r>
    </w:p>
    <w:p w:rsidR="002C7401" w:rsidRDefault="002C7401" w:rsidP="002C7401"/>
    <w:p w:rsidR="002C7401" w:rsidRPr="005F2040" w:rsidRDefault="005F2040" w:rsidP="002C7401">
      <w:pPr>
        <w:rPr>
          <w:u w:val="single"/>
        </w:rPr>
      </w:pPr>
      <w:r>
        <w:rPr>
          <w:u w:val="single"/>
        </w:rPr>
        <w:t>Costs</w:t>
      </w:r>
    </w:p>
    <w:p w:rsidR="002C7401" w:rsidRDefault="002C7401" w:rsidP="00BD67B7">
      <w:pPr>
        <w:pStyle w:val="ListParagraph"/>
        <w:numPr>
          <w:ilvl w:val="0"/>
          <w:numId w:val="30"/>
        </w:numPr>
      </w:pPr>
      <w:r>
        <w:t>The “whole” cost of making Council facilities available for public use is difficult to quantify</w:t>
      </w:r>
      <w:r w:rsidR="00494E74">
        <w:t xml:space="preserve"> exactly</w:t>
      </w:r>
      <w:r>
        <w:t>. The principal costs are:</w:t>
      </w:r>
    </w:p>
    <w:p w:rsidR="002C7401" w:rsidRDefault="00A8606E" w:rsidP="002C7401">
      <w:pPr>
        <w:pStyle w:val="ListParagraph"/>
        <w:numPr>
          <w:ilvl w:val="1"/>
          <w:numId w:val="10"/>
        </w:numPr>
      </w:pPr>
      <w:r>
        <w:t>PFM s</w:t>
      </w:r>
      <w:r w:rsidR="002C7401">
        <w:t>taff to facilitate the let (opening, closing, set up, etc.)</w:t>
      </w:r>
    </w:p>
    <w:p w:rsidR="002C7401" w:rsidRDefault="00A8606E" w:rsidP="00A8606E">
      <w:pPr>
        <w:pStyle w:val="ListParagraph"/>
        <w:numPr>
          <w:ilvl w:val="1"/>
          <w:numId w:val="10"/>
        </w:numPr>
      </w:pPr>
      <w:r>
        <w:t>School office and Business Support staff to process</w:t>
      </w:r>
      <w:r w:rsidR="002C7401">
        <w:t xml:space="preserve"> booking</w:t>
      </w:r>
      <w:r>
        <w:t>s</w:t>
      </w:r>
      <w:r w:rsidR="002C7401">
        <w:t xml:space="preserve"> and invoice for payment</w:t>
      </w:r>
    </w:p>
    <w:p w:rsidR="002C7401" w:rsidRDefault="002C7401" w:rsidP="002C7401">
      <w:pPr>
        <w:pStyle w:val="ListParagraph"/>
        <w:numPr>
          <w:ilvl w:val="1"/>
          <w:numId w:val="10"/>
        </w:numPr>
      </w:pPr>
      <w:r>
        <w:t>Wear and tear resulting from the additional use for lets</w:t>
      </w:r>
    </w:p>
    <w:p w:rsidR="002C7401" w:rsidRDefault="00BE0C30" w:rsidP="002C7401">
      <w:pPr>
        <w:pStyle w:val="ListParagraph"/>
        <w:numPr>
          <w:ilvl w:val="1"/>
          <w:numId w:val="10"/>
        </w:numPr>
      </w:pPr>
      <w:r>
        <w:t>Consumables (for example soap, hand towels) used during</w:t>
      </w:r>
      <w:r w:rsidR="002C7401">
        <w:t xml:space="preserve"> lets</w:t>
      </w:r>
    </w:p>
    <w:p w:rsidR="0088258B" w:rsidRDefault="002C7401" w:rsidP="0088258B">
      <w:pPr>
        <w:pStyle w:val="ListParagraph"/>
        <w:numPr>
          <w:ilvl w:val="1"/>
          <w:numId w:val="10"/>
        </w:numPr>
      </w:pPr>
      <w:r>
        <w:t>Utilities</w:t>
      </w:r>
      <w:r w:rsidR="00C116FC">
        <w:t>.</w:t>
      </w:r>
    </w:p>
    <w:p w:rsidR="00310EC1" w:rsidRDefault="00602101" w:rsidP="0088258B">
      <w:pPr>
        <w:pStyle w:val="ListParagraph"/>
        <w:numPr>
          <w:ilvl w:val="0"/>
          <w:numId w:val="10"/>
        </w:numPr>
      </w:pPr>
      <w:r>
        <w:t xml:space="preserve">An estimate of </w:t>
      </w:r>
      <w:r w:rsidR="00310EC1">
        <w:t xml:space="preserve">current </w:t>
      </w:r>
      <w:r>
        <w:t xml:space="preserve">costs in non PPP schools is approx. £254,000, but this does not include </w:t>
      </w:r>
      <w:r w:rsidR="002531B3">
        <w:t>utilities</w:t>
      </w:r>
      <w:r w:rsidR="00D323F2">
        <w:t>, indicating income does not cover costs in non-PPP schools</w:t>
      </w:r>
    </w:p>
    <w:p w:rsidR="002531B3" w:rsidRDefault="00602101" w:rsidP="0088258B">
      <w:pPr>
        <w:pStyle w:val="ListParagraph"/>
        <w:numPr>
          <w:ilvl w:val="0"/>
          <w:numId w:val="10"/>
        </w:numPr>
      </w:pPr>
      <w:r>
        <w:t>In PPP schools</w:t>
      </w:r>
      <w:r w:rsidR="002531B3">
        <w:t>, lets</w:t>
      </w:r>
      <w:r>
        <w:t xml:space="preserve"> costs</w:t>
      </w:r>
      <w:r w:rsidR="002531B3">
        <w:t>, including utilities</w:t>
      </w:r>
      <w:r w:rsidR="00A6715C">
        <w:t xml:space="preserve"> are covered by the</w:t>
      </w:r>
      <w:r w:rsidR="00BD67B7">
        <w:t xml:space="preserve"> contract cost</w:t>
      </w:r>
      <w:r w:rsidR="00A6715C">
        <w:t xml:space="preserve"> </w:t>
      </w:r>
      <w:r w:rsidR="00860FE8">
        <w:t xml:space="preserve"> an</w:t>
      </w:r>
      <w:r w:rsidR="00BD67B7">
        <w:t>d cannot be separated. H</w:t>
      </w:r>
      <w:r>
        <w:t>owever</w:t>
      </w:r>
      <w:r w:rsidR="002531B3">
        <w:t xml:space="preserve"> in 2013</w:t>
      </w:r>
      <w:r>
        <w:t xml:space="preserve"> the Council negot</w:t>
      </w:r>
      <w:r w:rsidR="002531B3">
        <w:t>iated</w:t>
      </w:r>
      <w:r>
        <w:t xml:space="preserve"> additiona</w:t>
      </w:r>
      <w:r w:rsidR="00BD67B7">
        <w:t>l out-of-</w:t>
      </w:r>
      <w:r w:rsidR="002531B3">
        <w:t xml:space="preserve">hours access to accommodate lets. The current cost of these </w:t>
      </w:r>
      <w:r w:rsidR="00BD67B7">
        <w:t>i</w:t>
      </w:r>
      <w:r w:rsidR="002531B3">
        <w:t>s £30.30 per hour, although this does not include the cost of bookin</w:t>
      </w:r>
      <w:r w:rsidR="00C116FC">
        <w:t>g which the Council administers</w:t>
      </w:r>
    </w:p>
    <w:p w:rsidR="00BD67B7" w:rsidRDefault="00550443" w:rsidP="0088258B">
      <w:pPr>
        <w:pStyle w:val="ListParagraph"/>
        <w:numPr>
          <w:ilvl w:val="0"/>
          <w:numId w:val="10"/>
        </w:numPr>
      </w:pPr>
      <w:r>
        <w:t xml:space="preserve">The </w:t>
      </w:r>
      <w:r w:rsidR="00BD67B7">
        <w:t xml:space="preserve">current </w:t>
      </w:r>
      <w:r>
        <w:t>Council approach</w:t>
      </w:r>
      <w:r w:rsidR="002531B3">
        <w:t xml:space="preserve"> to covering costs</w:t>
      </w:r>
      <w:r w:rsidR="00A6715C">
        <w:t xml:space="preserve"> is to provide a budget to cover </w:t>
      </w:r>
      <w:r>
        <w:t>costs and then to recoup some or all of that through income budgets.</w:t>
      </w:r>
      <w:r w:rsidR="0088258B">
        <w:t xml:space="preserve"> </w:t>
      </w:r>
    </w:p>
    <w:p w:rsidR="00BD67B7" w:rsidRDefault="00BD67B7" w:rsidP="00BD67B7">
      <w:pPr>
        <w:pStyle w:val="ListParagraph"/>
      </w:pPr>
      <w:r>
        <w:t>Income from lets in non-PPP schools is paid into a PFM income budget, which is used to partly offset facilit</w:t>
      </w:r>
      <w:r w:rsidR="00A6715C">
        <w:t>ation (i.e. staff) costs</w:t>
      </w:r>
      <w:r>
        <w:t>.</w:t>
      </w:r>
      <w:r w:rsidRPr="00FC2E3A">
        <w:t xml:space="preserve"> </w:t>
      </w:r>
      <w:r>
        <w:t>Income from PPP lets is received in Educ</w:t>
      </w:r>
      <w:r w:rsidR="00A6715C">
        <w:t>ation non devolved budgets</w:t>
      </w:r>
      <w:r>
        <w:t xml:space="preserve"> from w</w:t>
      </w:r>
      <w:r w:rsidR="00C116FC">
        <w:t>hich PPP contract costs are met</w:t>
      </w:r>
    </w:p>
    <w:p w:rsidR="00BD67B7" w:rsidRDefault="00BD67B7" w:rsidP="0049232B">
      <w:pPr>
        <w:pStyle w:val="ListParagraph"/>
        <w:numPr>
          <w:ilvl w:val="0"/>
          <w:numId w:val="10"/>
        </w:numPr>
      </w:pPr>
      <w:r>
        <w:t>In 2016/17 non-PPP income almost achieved the</w:t>
      </w:r>
      <w:r w:rsidR="00D323F2">
        <w:t xml:space="preserve"> income</w:t>
      </w:r>
      <w:r>
        <w:t xml:space="preserve"> budget of £139,705 and PPP income delivered a surplus on an income budget of £68,120; total </w:t>
      </w:r>
      <w:r w:rsidR="00D323F2">
        <w:t xml:space="preserve">from lets: </w:t>
      </w:r>
      <w:r>
        <w:t>£218,565 income against budget of £207,825.</w:t>
      </w:r>
    </w:p>
    <w:p w:rsidR="00D323F2" w:rsidRDefault="00D323F2" w:rsidP="00BD67B7">
      <w:pPr>
        <w:rPr>
          <w:b/>
        </w:rPr>
      </w:pPr>
    </w:p>
    <w:p w:rsidR="005F2040" w:rsidRDefault="005F2040" w:rsidP="00BD67B7">
      <w:pPr>
        <w:rPr>
          <w:b/>
        </w:rPr>
      </w:pPr>
    </w:p>
    <w:p w:rsidR="005F2040" w:rsidRDefault="005F2040" w:rsidP="00BD67B7">
      <w:pPr>
        <w:rPr>
          <w:b/>
        </w:rPr>
      </w:pPr>
    </w:p>
    <w:p w:rsidR="005F2040" w:rsidRDefault="005F2040" w:rsidP="00BD67B7">
      <w:pPr>
        <w:rPr>
          <w:b/>
        </w:rPr>
      </w:pPr>
    </w:p>
    <w:p w:rsidR="005F2040" w:rsidRDefault="005F2040" w:rsidP="00BD67B7">
      <w:pPr>
        <w:rPr>
          <w:b/>
        </w:rPr>
      </w:pPr>
    </w:p>
    <w:p w:rsidR="001B731E" w:rsidRPr="00BD67B7" w:rsidRDefault="0049232B" w:rsidP="00BD67B7">
      <w:r w:rsidRPr="00BD67B7">
        <w:rPr>
          <w:b/>
        </w:rPr>
        <w:lastRenderedPageBreak/>
        <w:t>1.5</w:t>
      </w:r>
      <w:r w:rsidRPr="00BD67B7">
        <w:rPr>
          <w:b/>
        </w:rPr>
        <w:tab/>
      </w:r>
      <w:r w:rsidR="008426A9">
        <w:rPr>
          <w:b/>
        </w:rPr>
        <w:t>Savings T</w:t>
      </w:r>
      <w:r w:rsidR="001B731E" w:rsidRPr="00BD67B7">
        <w:rPr>
          <w:b/>
        </w:rPr>
        <w:t xml:space="preserve">arget </w:t>
      </w:r>
    </w:p>
    <w:p w:rsidR="0049232B" w:rsidRDefault="0049232B" w:rsidP="0049232B"/>
    <w:p w:rsidR="0049232B" w:rsidRDefault="00B80155" w:rsidP="0049232B">
      <w:r>
        <w:t xml:space="preserve">The 15/16 and 16/17 budgets allocated </w:t>
      </w:r>
      <w:r w:rsidR="0049232B">
        <w:t xml:space="preserve">following savings to the school lets income budget. </w:t>
      </w:r>
    </w:p>
    <w:p w:rsidR="0049232B" w:rsidRDefault="0049232B" w:rsidP="0049232B"/>
    <w:tbl>
      <w:tblPr>
        <w:tblStyle w:val="TableGrid"/>
        <w:tblW w:w="0" w:type="auto"/>
        <w:tblLook w:val="04A0" w:firstRow="1" w:lastRow="0" w:firstColumn="1" w:lastColumn="0" w:noHBand="0" w:noVBand="1"/>
      </w:tblPr>
      <w:tblGrid>
        <w:gridCol w:w="1224"/>
        <w:gridCol w:w="1350"/>
        <w:gridCol w:w="3281"/>
        <w:gridCol w:w="1036"/>
        <w:gridCol w:w="1156"/>
        <w:gridCol w:w="1195"/>
      </w:tblGrid>
      <w:tr w:rsidR="00A6715C" w:rsidRPr="005F2040" w:rsidTr="00A6715C">
        <w:tc>
          <w:tcPr>
            <w:tcW w:w="1258" w:type="dxa"/>
          </w:tcPr>
          <w:p w:rsidR="00A6715C" w:rsidRPr="005F2040" w:rsidRDefault="00A6715C" w:rsidP="005F2040">
            <w:pPr>
              <w:spacing w:line="276" w:lineRule="auto"/>
              <w:rPr>
                <w:b/>
                <w:sz w:val="20"/>
              </w:rPr>
            </w:pPr>
            <w:r w:rsidRPr="005F2040">
              <w:rPr>
                <w:b/>
                <w:sz w:val="20"/>
              </w:rPr>
              <w:t>Cttee Date</w:t>
            </w:r>
          </w:p>
        </w:tc>
        <w:tc>
          <w:tcPr>
            <w:tcW w:w="1350" w:type="dxa"/>
          </w:tcPr>
          <w:p w:rsidR="00A6715C" w:rsidRPr="005F2040" w:rsidRDefault="00A6715C" w:rsidP="005F2040">
            <w:pPr>
              <w:spacing w:line="276" w:lineRule="auto"/>
              <w:rPr>
                <w:b/>
                <w:sz w:val="20"/>
              </w:rPr>
            </w:pPr>
            <w:r w:rsidRPr="005F2040">
              <w:rPr>
                <w:b/>
                <w:sz w:val="20"/>
              </w:rPr>
              <w:t>Ref</w:t>
            </w:r>
          </w:p>
        </w:tc>
        <w:tc>
          <w:tcPr>
            <w:tcW w:w="3409" w:type="dxa"/>
          </w:tcPr>
          <w:p w:rsidR="00A6715C" w:rsidRPr="005F2040" w:rsidRDefault="00A6715C" w:rsidP="005F2040">
            <w:pPr>
              <w:spacing w:line="276" w:lineRule="auto"/>
              <w:rPr>
                <w:b/>
                <w:sz w:val="20"/>
              </w:rPr>
            </w:pPr>
            <w:r w:rsidRPr="005F2040">
              <w:rPr>
                <w:b/>
                <w:sz w:val="20"/>
              </w:rPr>
              <w:t>Description</w:t>
            </w:r>
          </w:p>
        </w:tc>
        <w:tc>
          <w:tcPr>
            <w:tcW w:w="1042" w:type="dxa"/>
          </w:tcPr>
          <w:p w:rsidR="00A6715C" w:rsidRPr="005F2040" w:rsidRDefault="00A6715C" w:rsidP="005F2040">
            <w:pPr>
              <w:spacing w:line="276" w:lineRule="auto"/>
              <w:rPr>
                <w:b/>
                <w:sz w:val="20"/>
              </w:rPr>
            </w:pPr>
            <w:r w:rsidRPr="005F2040">
              <w:rPr>
                <w:b/>
                <w:sz w:val="20"/>
              </w:rPr>
              <w:t>FY</w:t>
            </w:r>
          </w:p>
        </w:tc>
        <w:tc>
          <w:tcPr>
            <w:tcW w:w="1174" w:type="dxa"/>
          </w:tcPr>
          <w:p w:rsidR="00A6715C" w:rsidRPr="005F2040" w:rsidRDefault="00A6715C" w:rsidP="005F2040">
            <w:pPr>
              <w:spacing w:line="276" w:lineRule="auto"/>
              <w:rPr>
                <w:b/>
                <w:sz w:val="20"/>
              </w:rPr>
            </w:pPr>
            <w:r w:rsidRPr="005F2040">
              <w:rPr>
                <w:b/>
                <w:sz w:val="20"/>
              </w:rPr>
              <w:t>Saving (£m)</w:t>
            </w:r>
          </w:p>
        </w:tc>
        <w:tc>
          <w:tcPr>
            <w:tcW w:w="1009" w:type="dxa"/>
          </w:tcPr>
          <w:p w:rsidR="00A6715C" w:rsidRPr="005F2040" w:rsidRDefault="00A6715C" w:rsidP="005F2040">
            <w:pPr>
              <w:spacing w:line="276" w:lineRule="auto"/>
              <w:rPr>
                <w:b/>
                <w:sz w:val="20"/>
              </w:rPr>
            </w:pPr>
            <w:r w:rsidRPr="005F2040">
              <w:rPr>
                <w:b/>
                <w:sz w:val="20"/>
              </w:rPr>
              <w:t>Note</w:t>
            </w:r>
          </w:p>
        </w:tc>
      </w:tr>
      <w:tr w:rsidR="00A6715C" w:rsidRPr="00F13EF8" w:rsidTr="00A6715C">
        <w:tc>
          <w:tcPr>
            <w:tcW w:w="1258" w:type="dxa"/>
          </w:tcPr>
          <w:p w:rsidR="00A6715C" w:rsidRPr="00F13EF8" w:rsidRDefault="00A6715C" w:rsidP="005F2040">
            <w:pPr>
              <w:spacing w:line="276" w:lineRule="auto"/>
              <w:rPr>
                <w:sz w:val="20"/>
              </w:rPr>
            </w:pPr>
            <w:r w:rsidRPr="00F13EF8">
              <w:rPr>
                <w:sz w:val="20"/>
              </w:rPr>
              <w:t>Dec 2014</w:t>
            </w:r>
          </w:p>
        </w:tc>
        <w:tc>
          <w:tcPr>
            <w:tcW w:w="1350" w:type="dxa"/>
          </w:tcPr>
          <w:p w:rsidR="00A6715C" w:rsidRPr="00F13EF8" w:rsidRDefault="00A6715C" w:rsidP="005F2040">
            <w:pPr>
              <w:spacing w:line="276" w:lineRule="auto"/>
              <w:rPr>
                <w:sz w:val="20"/>
              </w:rPr>
            </w:pPr>
            <w:r w:rsidRPr="00F13EF8">
              <w:rPr>
                <w:sz w:val="20"/>
              </w:rPr>
              <w:t xml:space="preserve">C&amp;L27 </w:t>
            </w:r>
          </w:p>
        </w:tc>
        <w:tc>
          <w:tcPr>
            <w:tcW w:w="3409" w:type="dxa"/>
          </w:tcPr>
          <w:p w:rsidR="00A6715C" w:rsidRPr="00F13EF8" w:rsidRDefault="00A6715C" w:rsidP="005F2040">
            <w:pPr>
              <w:spacing w:line="276" w:lineRule="auto"/>
              <w:rPr>
                <w:sz w:val="20"/>
              </w:rPr>
            </w:pPr>
            <w:r w:rsidRPr="00F13EF8">
              <w:rPr>
                <w:sz w:val="20"/>
              </w:rPr>
              <w:t>Consistent application of 2009 charging policy</w:t>
            </w:r>
          </w:p>
        </w:tc>
        <w:tc>
          <w:tcPr>
            <w:tcW w:w="1042" w:type="dxa"/>
          </w:tcPr>
          <w:p w:rsidR="00A6715C" w:rsidRPr="00F13EF8" w:rsidRDefault="00A6715C" w:rsidP="005F2040">
            <w:pPr>
              <w:spacing w:line="276" w:lineRule="auto"/>
              <w:rPr>
                <w:sz w:val="20"/>
              </w:rPr>
            </w:pPr>
            <w:r w:rsidRPr="00F13EF8">
              <w:rPr>
                <w:sz w:val="20"/>
              </w:rPr>
              <w:t>2015/16</w:t>
            </w:r>
          </w:p>
        </w:tc>
        <w:tc>
          <w:tcPr>
            <w:tcW w:w="1174" w:type="dxa"/>
          </w:tcPr>
          <w:p w:rsidR="00A6715C" w:rsidRPr="00F13EF8" w:rsidRDefault="00A6715C" w:rsidP="005F2040">
            <w:pPr>
              <w:spacing w:line="276" w:lineRule="auto"/>
              <w:jc w:val="right"/>
              <w:rPr>
                <w:sz w:val="20"/>
              </w:rPr>
            </w:pPr>
            <w:r w:rsidRPr="00F13EF8">
              <w:rPr>
                <w:sz w:val="20"/>
              </w:rPr>
              <w:t>0.020</w:t>
            </w:r>
          </w:p>
        </w:tc>
        <w:tc>
          <w:tcPr>
            <w:tcW w:w="1009" w:type="dxa"/>
          </w:tcPr>
          <w:p w:rsidR="00A6715C" w:rsidRPr="00F13EF8" w:rsidRDefault="00A6715C" w:rsidP="005F2040">
            <w:pPr>
              <w:spacing w:line="276" w:lineRule="auto"/>
              <w:jc w:val="right"/>
              <w:rPr>
                <w:sz w:val="20"/>
              </w:rPr>
            </w:pPr>
            <w:r>
              <w:rPr>
                <w:sz w:val="20"/>
              </w:rPr>
              <w:t>Achieved</w:t>
            </w:r>
          </w:p>
        </w:tc>
      </w:tr>
      <w:tr w:rsidR="00A6715C" w:rsidRPr="00F13EF8" w:rsidTr="00A6715C">
        <w:tc>
          <w:tcPr>
            <w:tcW w:w="1258" w:type="dxa"/>
          </w:tcPr>
          <w:p w:rsidR="00A6715C" w:rsidRPr="00F13EF8" w:rsidRDefault="00A6715C" w:rsidP="005F2040">
            <w:pPr>
              <w:spacing w:line="276" w:lineRule="auto"/>
              <w:rPr>
                <w:sz w:val="20"/>
              </w:rPr>
            </w:pPr>
            <w:r w:rsidRPr="00F13EF8">
              <w:rPr>
                <w:sz w:val="20"/>
              </w:rPr>
              <w:t>Dec 2014</w:t>
            </w:r>
          </w:p>
        </w:tc>
        <w:tc>
          <w:tcPr>
            <w:tcW w:w="1350" w:type="dxa"/>
          </w:tcPr>
          <w:p w:rsidR="00A6715C" w:rsidRPr="00F13EF8" w:rsidRDefault="00A6715C" w:rsidP="005F2040">
            <w:pPr>
              <w:spacing w:line="276" w:lineRule="auto"/>
              <w:rPr>
                <w:sz w:val="20"/>
              </w:rPr>
            </w:pPr>
            <w:r w:rsidRPr="00F13EF8">
              <w:rPr>
                <w:sz w:val="20"/>
              </w:rPr>
              <w:t>C&amp;L27</w:t>
            </w:r>
          </w:p>
        </w:tc>
        <w:tc>
          <w:tcPr>
            <w:tcW w:w="3409" w:type="dxa"/>
          </w:tcPr>
          <w:p w:rsidR="00A6715C" w:rsidRPr="00F13EF8" w:rsidRDefault="00A6715C" w:rsidP="005F2040">
            <w:pPr>
              <w:spacing w:line="276" w:lineRule="auto"/>
              <w:rPr>
                <w:sz w:val="20"/>
              </w:rPr>
            </w:pPr>
            <w:r w:rsidRPr="00F13EF8">
              <w:rPr>
                <w:sz w:val="20"/>
              </w:rPr>
              <w:t>Consistent application of 2009 charging policy</w:t>
            </w:r>
          </w:p>
        </w:tc>
        <w:tc>
          <w:tcPr>
            <w:tcW w:w="1042" w:type="dxa"/>
          </w:tcPr>
          <w:p w:rsidR="00A6715C" w:rsidRPr="00F13EF8" w:rsidRDefault="00A6715C" w:rsidP="005F2040">
            <w:pPr>
              <w:spacing w:line="276" w:lineRule="auto"/>
              <w:rPr>
                <w:sz w:val="20"/>
              </w:rPr>
            </w:pPr>
            <w:r w:rsidRPr="00F13EF8">
              <w:rPr>
                <w:sz w:val="20"/>
              </w:rPr>
              <w:t>2016/17</w:t>
            </w:r>
          </w:p>
        </w:tc>
        <w:tc>
          <w:tcPr>
            <w:tcW w:w="1174" w:type="dxa"/>
          </w:tcPr>
          <w:p w:rsidR="00A6715C" w:rsidRPr="00F13EF8" w:rsidRDefault="00A6715C" w:rsidP="005F2040">
            <w:pPr>
              <w:spacing w:line="276" w:lineRule="auto"/>
              <w:jc w:val="right"/>
              <w:rPr>
                <w:sz w:val="20"/>
              </w:rPr>
            </w:pPr>
            <w:r w:rsidRPr="00F13EF8">
              <w:rPr>
                <w:sz w:val="20"/>
              </w:rPr>
              <w:t>0.020</w:t>
            </w:r>
          </w:p>
        </w:tc>
        <w:tc>
          <w:tcPr>
            <w:tcW w:w="1009" w:type="dxa"/>
          </w:tcPr>
          <w:p w:rsidR="00A6715C" w:rsidRPr="00F13EF8" w:rsidRDefault="00A6715C" w:rsidP="005F2040">
            <w:pPr>
              <w:spacing w:line="276" w:lineRule="auto"/>
              <w:jc w:val="right"/>
              <w:rPr>
                <w:sz w:val="20"/>
              </w:rPr>
            </w:pPr>
            <w:r>
              <w:rPr>
                <w:sz w:val="20"/>
              </w:rPr>
              <w:t>Achieved</w:t>
            </w:r>
          </w:p>
        </w:tc>
      </w:tr>
      <w:tr w:rsidR="00A6715C" w:rsidRPr="00F13EF8" w:rsidTr="00A6715C">
        <w:tc>
          <w:tcPr>
            <w:tcW w:w="1258" w:type="dxa"/>
          </w:tcPr>
          <w:p w:rsidR="00A6715C" w:rsidRPr="00F13EF8" w:rsidRDefault="00A6715C" w:rsidP="005F2040">
            <w:pPr>
              <w:spacing w:line="276" w:lineRule="auto"/>
              <w:rPr>
                <w:sz w:val="20"/>
              </w:rPr>
            </w:pPr>
            <w:r>
              <w:rPr>
                <w:sz w:val="20"/>
              </w:rPr>
              <w:t>Dec 2014</w:t>
            </w:r>
          </w:p>
        </w:tc>
        <w:tc>
          <w:tcPr>
            <w:tcW w:w="1350" w:type="dxa"/>
          </w:tcPr>
          <w:p w:rsidR="00A6715C" w:rsidRPr="00F13EF8" w:rsidRDefault="00A6715C" w:rsidP="005F2040">
            <w:pPr>
              <w:spacing w:line="276" w:lineRule="auto"/>
              <w:rPr>
                <w:sz w:val="20"/>
              </w:rPr>
            </w:pPr>
            <w:r w:rsidRPr="00F13EF8">
              <w:rPr>
                <w:sz w:val="20"/>
              </w:rPr>
              <w:t>C&amp;L28</w:t>
            </w:r>
          </w:p>
        </w:tc>
        <w:tc>
          <w:tcPr>
            <w:tcW w:w="3409" w:type="dxa"/>
          </w:tcPr>
          <w:p w:rsidR="00A6715C" w:rsidRPr="00F13EF8" w:rsidRDefault="00A6715C" w:rsidP="005F2040">
            <w:pPr>
              <w:spacing w:line="276" w:lineRule="auto"/>
              <w:rPr>
                <w:sz w:val="20"/>
              </w:rPr>
            </w:pPr>
            <w:r w:rsidRPr="00F13EF8">
              <w:rPr>
                <w:sz w:val="20"/>
              </w:rPr>
              <w:t>Removal of free lets</w:t>
            </w:r>
          </w:p>
        </w:tc>
        <w:tc>
          <w:tcPr>
            <w:tcW w:w="1042" w:type="dxa"/>
          </w:tcPr>
          <w:p w:rsidR="00A6715C" w:rsidRPr="00F13EF8" w:rsidRDefault="00A6715C" w:rsidP="005F2040">
            <w:pPr>
              <w:spacing w:line="276" w:lineRule="auto"/>
              <w:rPr>
                <w:sz w:val="20"/>
              </w:rPr>
            </w:pPr>
            <w:r w:rsidRPr="00F13EF8">
              <w:rPr>
                <w:sz w:val="20"/>
              </w:rPr>
              <w:t>2016/17</w:t>
            </w:r>
          </w:p>
        </w:tc>
        <w:tc>
          <w:tcPr>
            <w:tcW w:w="1174" w:type="dxa"/>
          </w:tcPr>
          <w:p w:rsidR="00A6715C" w:rsidRPr="00F13EF8" w:rsidRDefault="00A6715C" w:rsidP="005F2040">
            <w:pPr>
              <w:spacing w:line="276" w:lineRule="auto"/>
              <w:jc w:val="right"/>
              <w:rPr>
                <w:sz w:val="20"/>
              </w:rPr>
            </w:pPr>
            <w:r w:rsidRPr="00F13EF8">
              <w:rPr>
                <w:sz w:val="20"/>
              </w:rPr>
              <w:t>0.150</w:t>
            </w:r>
          </w:p>
        </w:tc>
        <w:tc>
          <w:tcPr>
            <w:tcW w:w="1009" w:type="dxa"/>
          </w:tcPr>
          <w:p w:rsidR="00A6715C" w:rsidRPr="00F13EF8" w:rsidRDefault="007D360B" w:rsidP="005F2040">
            <w:pPr>
              <w:spacing w:line="276" w:lineRule="auto"/>
              <w:jc w:val="right"/>
              <w:rPr>
                <w:sz w:val="20"/>
              </w:rPr>
            </w:pPr>
            <w:r>
              <w:rPr>
                <w:sz w:val="20"/>
              </w:rPr>
              <w:t>Partially achievable</w:t>
            </w:r>
          </w:p>
        </w:tc>
      </w:tr>
      <w:tr w:rsidR="00A6715C" w:rsidRPr="00F13EF8" w:rsidTr="00A6715C">
        <w:tc>
          <w:tcPr>
            <w:tcW w:w="1258" w:type="dxa"/>
          </w:tcPr>
          <w:p w:rsidR="00A6715C" w:rsidRPr="00F13EF8" w:rsidRDefault="00A6715C" w:rsidP="005F2040">
            <w:pPr>
              <w:spacing w:line="276" w:lineRule="auto"/>
              <w:rPr>
                <w:sz w:val="20"/>
              </w:rPr>
            </w:pPr>
            <w:r w:rsidRPr="00F13EF8">
              <w:rPr>
                <w:sz w:val="20"/>
              </w:rPr>
              <w:t>Feb 2016</w:t>
            </w:r>
          </w:p>
        </w:tc>
        <w:tc>
          <w:tcPr>
            <w:tcW w:w="1350" w:type="dxa"/>
          </w:tcPr>
          <w:p w:rsidR="00A6715C" w:rsidRPr="00F13EF8" w:rsidRDefault="00A6715C" w:rsidP="005F2040">
            <w:pPr>
              <w:spacing w:line="276" w:lineRule="auto"/>
              <w:rPr>
                <w:sz w:val="20"/>
              </w:rPr>
            </w:pPr>
            <w:r w:rsidRPr="00F13EF8">
              <w:rPr>
                <w:sz w:val="20"/>
              </w:rPr>
              <w:t>C&amp;L/RES/15</w:t>
            </w:r>
          </w:p>
        </w:tc>
        <w:tc>
          <w:tcPr>
            <w:tcW w:w="3409" w:type="dxa"/>
          </w:tcPr>
          <w:p w:rsidR="00A6715C" w:rsidRPr="00F13EF8" w:rsidRDefault="00A6715C" w:rsidP="005F2040">
            <w:pPr>
              <w:spacing w:line="276" w:lineRule="auto"/>
              <w:rPr>
                <w:sz w:val="20"/>
              </w:rPr>
            </w:pPr>
            <w:r w:rsidRPr="00F13EF8">
              <w:rPr>
                <w:sz w:val="20"/>
              </w:rPr>
              <w:t>Additional lets income</w:t>
            </w:r>
          </w:p>
        </w:tc>
        <w:tc>
          <w:tcPr>
            <w:tcW w:w="1042" w:type="dxa"/>
          </w:tcPr>
          <w:p w:rsidR="00A6715C" w:rsidRPr="00F13EF8" w:rsidRDefault="00A6715C" w:rsidP="005F2040">
            <w:pPr>
              <w:spacing w:line="276" w:lineRule="auto"/>
              <w:rPr>
                <w:sz w:val="20"/>
              </w:rPr>
            </w:pPr>
            <w:r w:rsidRPr="00F13EF8">
              <w:rPr>
                <w:sz w:val="20"/>
              </w:rPr>
              <w:t>2016/17</w:t>
            </w:r>
          </w:p>
        </w:tc>
        <w:tc>
          <w:tcPr>
            <w:tcW w:w="1174" w:type="dxa"/>
          </w:tcPr>
          <w:p w:rsidR="00A6715C" w:rsidRPr="00F13EF8" w:rsidRDefault="00A6715C" w:rsidP="005F2040">
            <w:pPr>
              <w:spacing w:line="276" w:lineRule="auto"/>
              <w:jc w:val="right"/>
              <w:rPr>
                <w:sz w:val="20"/>
              </w:rPr>
            </w:pPr>
            <w:r w:rsidRPr="00F13EF8">
              <w:rPr>
                <w:sz w:val="20"/>
              </w:rPr>
              <w:t>0.035</w:t>
            </w:r>
          </w:p>
        </w:tc>
        <w:tc>
          <w:tcPr>
            <w:tcW w:w="1009" w:type="dxa"/>
          </w:tcPr>
          <w:p w:rsidR="00A6715C" w:rsidRPr="00F13EF8" w:rsidRDefault="007D360B" w:rsidP="005F2040">
            <w:pPr>
              <w:spacing w:line="276" w:lineRule="auto"/>
              <w:jc w:val="right"/>
              <w:rPr>
                <w:sz w:val="20"/>
              </w:rPr>
            </w:pPr>
            <w:r>
              <w:rPr>
                <w:sz w:val="20"/>
              </w:rPr>
              <w:t>Achievable</w:t>
            </w:r>
          </w:p>
        </w:tc>
      </w:tr>
      <w:tr w:rsidR="00A6715C" w:rsidRPr="00F13EF8" w:rsidTr="00A6715C">
        <w:tc>
          <w:tcPr>
            <w:tcW w:w="1258" w:type="dxa"/>
          </w:tcPr>
          <w:p w:rsidR="00A6715C" w:rsidRPr="00F13EF8" w:rsidRDefault="00A6715C" w:rsidP="005F2040">
            <w:pPr>
              <w:spacing w:line="276" w:lineRule="auto"/>
              <w:rPr>
                <w:b/>
                <w:sz w:val="20"/>
              </w:rPr>
            </w:pPr>
          </w:p>
        </w:tc>
        <w:tc>
          <w:tcPr>
            <w:tcW w:w="1350" w:type="dxa"/>
          </w:tcPr>
          <w:p w:rsidR="00A6715C" w:rsidRPr="00F13EF8" w:rsidRDefault="00A6715C" w:rsidP="005F2040">
            <w:pPr>
              <w:spacing w:line="276" w:lineRule="auto"/>
              <w:rPr>
                <w:b/>
                <w:sz w:val="20"/>
              </w:rPr>
            </w:pPr>
          </w:p>
        </w:tc>
        <w:tc>
          <w:tcPr>
            <w:tcW w:w="3409" w:type="dxa"/>
          </w:tcPr>
          <w:p w:rsidR="00A6715C" w:rsidRPr="00F13EF8" w:rsidRDefault="005F2040" w:rsidP="005F2040">
            <w:pPr>
              <w:spacing w:line="276" w:lineRule="auto"/>
              <w:rPr>
                <w:b/>
                <w:sz w:val="20"/>
              </w:rPr>
            </w:pPr>
            <w:r w:rsidRPr="00F13EF8">
              <w:rPr>
                <w:b/>
                <w:sz w:val="20"/>
              </w:rPr>
              <w:t>Aggregate</w:t>
            </w:r>
          </w:p>
        </w:tc>
        <w:tc>
          <w:tcPr>
            <w:tcW w:w="1042" w:type="dxa"/>
          </w:tcPr>
          <w:p w:rsidR="00A6715C" w:rsidRPr="00F13EF8" w:rsidRDefault="00A6715C" w:rsidP="005F2040">
            <w:pPr>
              <w:spacing w:line="276" w:lineRule="auto"/>
              <w:rPr>
                <w:b/>
                <w:sz w:val="20"/>
              </w:rPr>
            </w:pPr>
          </w:p>
        </w:tc>
        <w:tc>
          <w:tcPr>
            <w:tcW w:w="1174" w:type="dxa"/>
          </w:tcPr>
          <w:p w:rsidR="00A6715C" w:rsidRPr="00F13EF8" w:rsidRDefault="00A6715C" w:rsidP="005F2040">
            <w:pPr>
              <w:spacing w:line="276" w:lineRule="auto"/>
              <w:jc w:val="right"/>
              <w:rPr>
                <w:b/>
                <w:sz w:val="20"/>
              </w:rPr>
            </w:pPr>
            <w:r w:rsidRPr="00F13EF8">
              <w:rPr>
                <w:b/>
                <w:sz w:val="20"/>
              </w:rPr>
              <w:t>0.225</w:t>
            </w:r>
          </w:p>
        </w:tc>
        <w:tc>
          <w:tcPr>
            <w:tcW w:w="1009" w:type="dxa"/>
          </w:tcPr>
          <w:p w:rsidR="00A6715C" w:rsidRPr="00F13EF8" w:rsidRDefault="00A6715C" w:rsidP="005F2040">
            <w:pPr>
              <w:spacing w:line="276" w:lineRule="auto"/>
              <w:jc w:val="right"/>
              <w:rPr>
                <w:b/>
                <w:sz w:val="20"/>
              </w:rPr>
            </w:pPr>
          </w:p>
        </w:tc>
      </w:tr>
    </w:tbl>
    <w:p w:rsidR="0049232B" w:rsidRDefault="0049232B" w:rsidP="0049232B"/>
    <w:p w:rsidR="0049232B" w:rsidRDefault="0049232B" w:rsidP="0049232B">
      <w:r>
        <w:t>The position on 1 April 2017 (start of FY17/18 and the date of transfer of responsibility for lets from Care and Learning to Development and In</w:t>
      </w:r>
      <w:r w:rsidR="00AA54C0">
        <w:t>frastructu</w:t>
      </w:r>
      <w:r w:rsidR="008426A9">
        <w:t>re) is set out below:</w:t>
      </w:r>
    </w:p>
    <w:p w:rsidR="00AA54C0" w:rsidRPr="003052B9" w:rsidRDefault="00AA54C0" w:rsidP="0049232B"/>
    <w:tbl>
      <w:tblPr>
        <w:tblStyle w:val="TableGrid"/>
        <w:tblW w:w="0" w:type="auto"/>
        <w:tblLook w:val="04A0" w:firstRow="1" w:lastRow="0" w:firstColumn="1" w:lastColumn="0" w:noHBand="0" w:noVBand="1"/>
      </w:tblPr>
      <w:tblGrid>
        <w:gridCol w:w="7848"/>
        <w:gridCol w:w="1394"/>
      </w:tblGrid>
      <w:tr w:rsidR="0049232B" w:rsidRPr="005F2040" w:rsidTr="007D360B">
        <w:tc>
          <w:tcPr>
            <w:tcW w:w="7848" w:type="dxa"/>
          </w:tcPr>
          <w:p w:rsidR="0049232B" w:rsidRPr="005F2040" w:rsidRDefault="0049232B" w:rsidP="00D92717">
            <w:pPr>
              <w:spacing w:line="276" w:lineRule="auto"/>
              <w:rPr>
                <w:b/>
                <w:sz w:val="20"/>
              </w:rPr>
            </w:pPr>
          </w:p>
        </w:tc>
        <w:tc>
          <w:tcPr>
            <w:tcW w:w="1394" w:type="dxa"/>
          </w:tcPr>
          <w:p w:rsidR="0049232B" w:rsidRPr="005F2040" w:rsidRDefault="0049232B" w:rsidP="00D92717">
            <w:pPr>
              <w:spacing w:line="276" w:lineRule="auto"/>
              <w:rPr>
                <w:b/>
                <w:sz w:val="20"/>
              </w:rPr>
            </w:pPr>
            <w:r w:rsidRPr="005F2040">
              <w:rPr>
                <w:b/>
                <w:sz w:val="20"/>
              </w:rPr>
              <w:t>Saving (£m)</w:t>
            </w:r>
          </w:p>
        </w:tc>
      </w:tr>
      <w:tr w:rsidR="0049232B" w:rsidRPr="00F13EF8" w:rsidTr="007D360B">
        <w:tc>
          <w:tcPr>
            <w:tcW w:w="7848" w:type="dxa"/>
          </w:tcPr>
          <w:p w:rsidR="0049232B" w:rsidRPr="00F13EF8" w:rsidRDefault="0049232B" w:rsidP="005F2040">
            <w:pPr>
              <w:spacing w:line="276" w:lineRule="auto"/>
              <w:rPr>
                <w:sz w:val="20"/>
              </w:rPr>
            </w:pPr>
            <w:r>
              <w:rPr>
                <w:sz w:val="20"/>
              </w:rPr>
              <w:t>Aggregate</w:t>
            </w:r>
            <w:r w:rsidRPr="00F13EF8">
              <w:rPr>
                <w:sz w:val="20"/>
              </w:rPr>
              <w:t xml:space="preserve"> saving</w:t>
            </w:r>
          </w:p>
        </w:tc>
        <w:tc>
          <w:tcPr>
            <w:tcW w:w="1394" w:type="dxa"/>
          </w:tcPr>
          <w:p w:rsidR="0049232B" w:rsidRPr="00F13EF8" w:rsidRDefault="0049232B" w:rsidP="005F2040">
            <w:pPr>
              <w:spacing w:line="276" w:lineRule="auto"/>
              <w:jc w:val="right"/>
              <w:rPr>
                <w:sz w:val="20"/>
              </w:rPr>
            </w:pPr>
            <w:r w:rsidRPr="00F13EF8">
              <w:rPr>
                <w:sz w:val="20"/>
              </w:rPr>
              <w:t>0.225</w:t>
            </w:r>
          </w:p>
        </w:tc>
      </w:tr>
      <w:tr w:rsidR="0049232B" w:rsidRPr="00F13EF8" w:rsidTr="007D360B">
        <w:tc>
          <w:tcPr>
            <w:tcW w:w="7848" w:type="dxa"/>
          </w:tcPr>
          <w:p w:rsidR="0049232B" w:rsidRPr="00F13EF8" w:rsidRDefault="0049232B" w:rsidP="005F2040">
            <w:pPr>
              <w:spacing w:line="276" w:lineRule="auto"/>
              <w:rPr>
                <w:sz w:val="20"/>
              </w:rPr>
            </w:pPr>
            <w:r w:rsidRPr="00F13EF8">
              <w:rPr>
                <w:sz w:val="20"/>
              </w:rPr>
              <w:t>Amount achieved by</w:t>
            </w:r>
            <w:r>
              <w:rPr>
                <w:sz w:val="20"/>
              </w:rPr>
              <w:t xml:space="preserve"> 1 April 2017 (date of </w:t>
            </w:r>
            <w:r w:rsidRPr="00F13EF8">
              <w:rPr>
                <w:sz w:val="20"/>
              </w:rPr>
              <w:t>transfer C&amp;L</w:t>
            </w:r>
            <w:r w:rsidRPr="00F13EF8">
              <w:rPr>
                <w:sz w:val="20"/>
              </w:rPr>
              <w:sym w:font="Wingdings" w:char="F0E0"/>
            </w:r>
            <w:r w:rsidRPr="00F13EF8">
              <w:rPr>
                <w:sz w:val="20"/>
              </w:rPr>
              <w:t xml:space="preserve"> D&amp;I</w:t>
            </w:r>
            <w:r>
              <w:rPr>
                <w:sz w:val="20"/>
              </w:rPr>
              <w:t>)</w:t>
            </w:r>
            <w:r w:rsidR="007D360B">
              <w:rPr>
                <w:sz w:val="20"/>
              </w:rPr>
              <w:t xml:space="preserve"> (ref C&amp;L 27)</w:t>
            </w:r>
          </w:p>
        </w:tc>
        <w:tc>
          <w:tcPr>
            <w:tcW w:w="1394" w:type="dxa"/>
          </w:tcPr>
          <w:p w:rsidR="0049232B" w:rsidRPr="00F13EF8" w:rsidRDefault="0049232B" w:rsidP="005F2040">
            <w:pPr>
              <w:spacing w:line="276" w:lineRule="auto"/>
              <w:jc w:val="right"/>
              <w:rPr>
                <w:sz w:val="20"/>
              </w:rPr>
            </w:pPr>
            <w:r w:rsidRPr="00F13EF8">
              <w:rPr>
                <w:sz w:val="20"/>
              </w:rPr>
              <w:t>0.043</w:t>
            </w:r>
          </w:p>
        </w:tc>
      </w:tr>
      <w:tr w:rsidR="0049232B" w:rsidRPr="00F13EF8" w:rsidTr="007D360B">
        <w:tc>
          <w:tcPr>
            <w:tcW w:w="7848" w:type="dxa"/>
          </w:tcPr>
          <w:p w:rsidR="0049232B" w:rsidRPr="00F13EF8" w:rsidRDefault="0049232B" w:rsidP="005F2040">
            <w:pPr>
              <w:spacing w:line="276" w:lineRule="auto"/>
              <w:rPr>
                <w:b/>
                <w:sz w:val="20"/>
              </w:rPr>
            </w:pPr>
            <w:r w:rsidRPr="00F13EF8">
              <w:rPr>
                <w:b/>
                <w:sz w:val="20"/>
              </w:rPr>
              <w:t>Outstan</w:t>
            </w:r>
            <w:r w:rsidR="00D323F2">
              <w:rPr>
                <w:b/>
                <w:sz w:val="20"/>
              </w:rPr>
              <w:t>ding saving still to be allocated to budgets</w:t>
            </w:r>
            <w:r w:rsidR="007D360B">
              <w:rPr>
                <w:b/>
                <w:sz w:val="20"/>
              </w:rPr>
              <w:t xml:space="preserve"> (ref C&amp;L28, C&amp;L/RES15)</w:t>
            </w:r>
          </w:p>
        </w:tc>
        <w:tc>
          <w:tcPr>
            <w:tcW w:w="1394" w:type="dxa"/>
          </w:tcPr>
          <w:p w:rsidR="0049232B" w:rsidRPr="00F13EF8" w:rsidRDefault="0049232B" w:rsidP="005F2040">
            <w:pPr>
              <w:spacing w:line="276" w:lineRule="auto"/>
              <w:jc w:val="right"/>
              <w:rPr>
                <w:b/>
                <w:sz w:val="20"/>
              </w:rPr>
            </w:pPr>
            <w:r w:rsidRPr="00F13EF8">
              <w:rPr>
                <w:b/>
                <w:sz w:val="20"/>
              </w:rPr>
              <w:t>0.182</w:t>
            </w:r>
          </w:p>
        </w:tc>
      </w:tr>
    </w:tbl>
    <w:p w:rsidR="00BD67B7" w:rsidRPr="00AA54C0" w:rsidRDefault="00BD67B7" w:rsidP="0049232B"/>
    <w:p w:rsidR="00BD67B7" w:rsidRPr="00BD67B7" w:rsidRDefault="0049232B" w:rsidP="0049232B">
      <w:pPr>
        <w:rPr>
          <w:color w:val="000000" w:themeColor="text1"/>
        </w:rPr>
      </w:pPr>
      <w:r w:rsidRPr="00BD67B7">
        <w:rPr>
          <w:color w:val="000000" w:themeColor="text1"/>
        </w:rPr>
        <w:t xml:space="preserve">Care and Learning has </w:t>
      </w:r>
      <w:r w:rsidR="00363E7F">
        <w:rPr>
          <w:color w:val="000000" w:themeColor="text1"/>
        </w:rPr>
        <w:t>identified one-off savings/ income</w:t>
      </w:r>
      <w:r w:rsidRPr="00BD67B7">
        <w:rPr>
          <w:color w:val="000000" w:themeColor="text1"/>
        </w:rPr>
        <w:t xml:space="preserve"> to cover the £182K saving in 17/18, </w:t>
      </w:r>
      <w:r w:rsidR="00B80155">
        <w:rPr>
          <w:color w:val="000000" w:themeColor="text1"/>
        </w:rPr>
        <w:t xml:space="preserve">meaning that a temporary solution has been found for the current year only;  </w:t>
      </w:r>
      <w:r w:rsidRPr="00BD67B7">
        <w:rPr>
          <w:color w:val="000000" w:themeColor="text1"/>
        </w:rPr>
        <w:t xml:space="preserve"> from 18/19 the saving</w:t>
      </w:r>
      <w:r w:rsidR="00363E7F">
        <w:rPr>
          <w:color w:val="000000" w:themeColor="text1"/>
        </w:rPr>
        <w:t xml:space="preserve"> will need to be found</w:t>
      </w:r>
      <w:r w:rsidR="00D323F2">
        <w:rPr>
          <w:color w:val="000000" w:themeColor="text1"/>
        </w:rPr>
        <w:t>, presenting a risk for future years</w:t>
      </w:r>
      <w:r w:rsidRPr="00BD67B7">
        <w:rPr>
          <w:color w:val="000000" w:themeColor="text1"/>
        </w:rPr>
        <w:t xml:space="preserve">. </w:t>
      </w:r>
      <w:r w:rsidR="00363E7F">
        <w:rPr>
          <w:color w:val="000000" w:themeColor="text1"/>
        </w:rPr>
        <w:t>Of £182K,</w:t>
      </w:r>
      <w:r w:rsidR="007D360B">
        <w:rPr>
          <w:color w:val="000000" w:themeColor="text1"/>
        </w:rPr>
        <w:t xml:space="preserve"> </w:t>
      </w:r>
      <w:r w:rsidR="00D323F2">
        <w:rPr>
          <w:color w:val="000000" w:themeColor="text1"/>
        </w:rPr>
        <w:t xml:space="preserve">the </w:t>
      </w:r>
      <w:r w:rsidR="00363E7F">
        <w:rPr>
          <w:color w:val="000000" w:themeColor="text1"/>
        </w:rPr>
        <w:t>£35K additional income</w:t>
      </w:r>
      <w:r w:rsidR="00D323F2">
        <w:rPr>
          <w:color w:val="000000" w:themeColor="text1"/>
        </w:rPr>
        <w:t xml:space="preserve"> target</w:t>
      </w:r>
      <w:r w:rsidR="00363E7F">
        <w:rPr>
          <w:color w:val="000000" w:themeColor="text1"/>
        </w:rPr>
        <w:t xml:space="preserve"> is</w:t>
      </w:r>
      <w:r w:rsidR="007D360B">
        <w:rPr>
          <w:color w:val="000000" w:themeColor="text1"/>
        </w:rPr>
        <w:t xml:space="preserve"> achievable</w:t>
      </w:r>
      <w:r w:rsidR="00363E7F">
        <w:rPr>
          <w:color w:val="000000" w:themeColor="text1"/>
        </w:rPr>
        <w:t xml:space="preserve"> in 18/19</w:t>
      </w:r>
      <w:r w:rsidR="007D360B">
        <w:rPr>
          <w:color w:val="000000" w:themeColor="text1"/>
        </w:rPr>
        <w:t xml:space="preserve">, but the </w:t>
      </w:r>
      <w:r w:rsidRPr="00BD67B7">
        <w:rPr>
          <w:color w:val="000000" w:themeColor="text1"/>
        </w:rPr>
        <w:t>£150K target for removal of free lets (Ref C&amp;L28)</w:t>
      </w:r>
      <w:r w:rsidR="007D360B">
        <w:rPr>
          <w:color w:val="000000" w:themeColor="text1"/>
        </w:rPr>
        <w:t xml:space="preserve"> will be extremely challenging</w:t>
      </w:r>
      <w:r w:rsidR="00363E7F">
        <w:rPr>
          <w:color w:val="000000" w:themeColor="text1"/>
        </w:rPr>
        <w:t>,</w:t>
      </w:r>
      <w:r w:rsidR="00D323F2">
        <w:rPr>
          <w:color w:val="000000" w:themeColor="text1"/>
        </w:rPr>
        <w:t xml:space="preserve"> because</w:t>
      </w:r>
      <w:r w:rsidR="00363E7F">
        <w:rPr>
          <w:color w:val="000000" w:themeColor="text1"/>
        </w:rPr>
        <w:t>,</w:t>
      </w:r>
      <w:r w:rsidR="007D360B">
        <w:rPr>
          <w:color w:val="000000" w:themeColor="text1"/>
        </w:rPr>
        <w:t xml:space="preserve"> as outlined in Section 5</w:t>
      </w:r>
      <w:r w:rsidR="00B80155">
        <w:rPr>
          <w:color w:val="000000" w:themeColor="text1"/>
        </w:rPr>
        <w:t xml:space="preserve"> below, </w:t>
      </w:r>
      <w:r w:rsidR="00D323F2">
        <w:rPr>
          <w:color w:val="000000" w:themeColor="text1"/>
        </w:rPr>
        <w:t xml:space="preserve">charging free lets </w:t>
      </w:r>
      <w:r w:rsidR="00B80155">
        <w:rPr>
          <w:color w:val="000000" w:themeColor="text1"/>
        </w:rPr>
        <w:t>will</w:t>
      </w:r>
      <w:r w:rsidRPr="00BD67B7">
        <w:rPr>
          <w:color w:val="000000" w:themeColor="text1"/>
        </w:rPr>
        <w:t xml:space="preserve"> only yield </w:t>
      </w:r>
      <w:r w:rsidR="00D323F2">
        <w:rPr>
          <w:color w:val="000000" w:themeColor="text1"/>
        </w:rPr>
        <w:t xml:space="preserve">a </w:t>
      </w:r>
      <w:r w:rsidR="00B80155">
        <w:rPr>
          <w:color w:val="000000" w:themeColor="text1"/>
        </w:rPr>
        <w:t>maximum</w:t>
      </w:r>
      <w:r w:rsidRPr="00BD67B7">
        <w:rPr>
          <w:color w:val="000000" w:themeColor="text1"/>
        </w:rPr>
        <w:t xml:space="preserve"> </w:t>
      </w:r>
      <w:r w:rsidR="00D323F2">
        <w:rPr>
          <w:color w:val="000000" w:themeColor="text1"/>
        </w:rPr>
        <w:t xml:space="preserve">of </w:t>
      </w:r>
      <w:r w:rsidR="00BD67B7" w:rsidRPr="00BD67B7">
        <w:rPr>
          <w:color w:val="000000" w:themeColor="text1"/>
        </w:rPr>
        <w:t>£40</w:t>
      </w:r>
      <w:r w:rsidRPr="00BD67B7">
        <w:rPr>
          <w:color w:val="000000" w:themeColor="text1"/>
        </w:rPr>
        <w:t xml:space="preserve">K assuming current letting volumes are maintained. </w:t>
      </w:r>
    </w:p>
    <w:p w:rsidR="00BD67B7" w:rsidRPr="00BD67B7" w:rsidRDefault="00BD67B7" w:rsidP="0049232B">
      <w:pPr>
        <w:rPr>
          <w:color w:val="000000" w:themeColor="text1"/>
        </w:rPr>
      </w:pPr>
    </w:p>
    <w:p w:rsidR="0049232B" w:rsidRPr="00BD67B7" w:rsidRDefault="00363E7F" w:rsidP="0049232B">
      <w:pPr>
        <w:rPr>
          <w:color w:val="000000" w:themeColor="text1"/>
        </w:rPr>
      </w:pPr>
      <w:r>
        <w:rPr>
          <w:color w:val="000000" w:themeColor="text1"/>
        </w:rPr>
        <w:t>The</w:t>
      </w:r>
      <w:r w:rsidR="0049232B" w:rsidRPr="00BD67B7">
        <w:rPr>
          <w:color w:val="000000" w:themeColor="text1"/>
        </w:rPr>
        <w:t xml:space="preserve"> saving against free lets wa</w:t>
      </w:r>
      <w:r w:rsidR="00AC509D">
        <w:rPr>
          <w:color w:val="000000" w:themeColor="text1"/>
        </w:rPr>
        <w:t>s based on a pro rata estimate</w:t>
      </w:r>
      <w:r w:rsidR="0049232B" w:rsidRPr="00BD67B7">
        <w:rPr>
          <w:color w:val="000000" w:themeColor="text1"/>
        </w:rPr>
        <w:t xml:space="preserve"> of the value of free lets made in the 2014 report to ECAS</w:t>
      </w:r>
      <w:r w:rsidR="007D360B">
        <w:rPr>
          <w:color w:val="000000" w:themeColor="text1"/>
        </w:rPr>
        <w:t>, the best information available at that time</w:t>
      </w:r>
      <w:r w:rsidR="0049232B" w:rsidRPr="00BD67B7">
        <w:rPr>
          <w:color w:val="000000" w:themeColor="text1"/>
        </w:rPr>
        <w:t>.</w:t>
      </w:r>
      <w:r w:rsidR="007D360B">
        <w:rPr>
          <w:color w:val="000000" w:themeColor="text1"/>
        </w:rPr>
        <w:t xml:space="preserve"> However, analysis by this proj</w:t>
      </w:r>
      <w:r w:rsidR="00B80155">
        <w:rPr>
          <w:color w:val="000000" w:themeColor="text1"/>
        </w:rPr>
        <w:t>ect</w:t>
      </w:r>
      <w:r w:rsidR="00AC509D">
        <w:rPr>
          <w:color w:val="000000" w:themeColor="text1"/>
        </w:rPr>
        <w:t>,</w:t>
      </w:r>
      <w:r w:rsidR="00B80155">
        <w:rPr>
          <w:color w:val="000000" w:themeColor="text1"/>
        </w:rPr>
        <w:t xml:space="preserve"> based on a more robust data</w:t>
      </w:r>
      <w:r w:rsidR="007D360B">
        <w:rPr>
          <w:color w:val="000000" w:themeColor="text1"/>
        </w:rPr>
        <w:t>set</w:t>
      </w:r>
      <w:r w:rsidR="00B80155">
        <w:rPr>
          <w:color w:val="000000" w:themeColor="text1"/>
        </w:rPr>
        <w:t xml:space="preserve"> collected in the intervening peri</w:t>
      </w:r>
      <w:r w:rsidR="00C97109">
        <w:rPr>
          <w:color w:val="000000" w:themeColor="text1"/>
        </w:rPr>
        <w:t>od</w:t>
      </w:r>
      <w:r w:rsidR="00AC509D">
        <w:rPr>
          <w:color w:val="000000" w:themeColor="text1"/>
        </w:rPr>
        <w:t>,</w:t>
      </w:r>
      <w:r w:rsidR="007D360B">
        <w:rPr>
          <w:color w:val="000000" w:themeColor="text1"/>
        </w:rPr>
        <w:t xml:space="preserve"> has found this estimate</w:t>
      </w:r>
      <w:r w:rsidR="0049232B" w:rsidRPr="00BD67B7">
        <w:rPr>
          <w:color w:val="000000" w:themeColor="text1"/>
        </w:rPr>
        <w:t xml:space="preserve"> </w:t>
      </w:r>
      <w:r w:rsidR="007D360B">
        <w:rPr>
          <w:color w:val="000000" w:themeColor="text1"/>
        </w:rPr>
        <w:t>to be</w:t>
      </w:r>
      <w:r w:rsidR="0049232B" w:rsidRPr="00BD67B7">
        <w:rPr>
          <w:color w:val="000000" w:themeColor="text1"/>
        </w:rPr>
        <w:t xml:space="preserve"> high for three reasons:</w:t>
      </w:r>
    </w:p>
    <w:p w:rsidR="0049232B" w:rsidRPr="00BD67B7" w:rsidRDefault="0049232B" w:rsidP="0049232B">
      <w:pPr>
        <w:pStyle w:val="ListParagraph"/>
        <w:numPr>
          <w:ilvl w:val="0"/>
          <w:numId w:val="27"/>
        </w:numPr>
        <w:rPr>
          <w:color w:val="000000" w:themeColor="text1"/>
        </w:rPr>
      </w:pPr>
      <w:r w:rsidRPr="00BD67B7">
        <w:rPr>
          <w:color w:val="000000" w:themeColor="text1"/>
        </w:rPr>
        <w:t>The volume of lets has declined by a third since 2014</w:t>
      </w:r>
      <w:r w:rsidR="00D323F2">
        <w:rPr>
          <w:color w:val="000000" w:themeColor="text1"/>
        </w:rPr>
        <w:t xml:space="preserve"> (and this trend appears to be continuing)</w:t>
      </w:r>
    </w:p>
    <w:p w:rsidR="0049232B" w:rsidRPr="00BD67B7" w:rsidRDefault="0049232B" w:rsidP="0049232B">
      <w:pPr>
        <w:pStyle w:val="ListParagraph"/>
        <w:numPr>
          <w:ilvl w:val="0"/>
          <w:numId w:val="27"/>
        </w:numPr>
        <w:rPr>
          <w:color w:val="000000" w:themeColor="text1"/>
        </w:rPr>
      </w:pPr>
      <w:r w:rsidRPr="00BD67B7">
        <w:rPr>
          <w:color w:val="000000" w:themeColor="text1"/>
        </w:rPr>
        <w:t>The estimate was based on 12,000hrs of free lets that could be charged for, whereas the Lets Project has found that only approximately 3,000hrs are free lets that could be charged for</w:t>
      </w:r>
      <w:r w:rsidR="00AC509D">
        <w:rPr>
          <w:color w:val="000000" w:themeColor="text1"/>
        </w:rPr>
        <w:t xml:space="preserve"> (i.e. the majority are non-</w:t>
      </w:r>
      <w:r w:rsidR="007D360B">
        <w:rPr>
          <w:color w:val="000000" w:themeColor="text1"/>
        </w:rPr>
        <w:t>chargeable school lets)</w:t>
      </w:r>
    </w:p>
    <w:p w:rsidR="0049232B" w:rsidRPr="00BD67B7" w:rsidRDefault="0049232B" w:rsidP="0049232B">
      <w:pPr>
        <w:pStyle w:val="ListParagraph"/>
        <w:numPr>
          <w:ilvl w:val="0"/>
          <w:numId w:val="27"/>
        </w:numPr>
        <w:rPr>
          <w:color w:val="000000" w:themeColor="text1"/>
        </w:rPr>
      </w:pPr>
      <w:r w:rsidRPr="00BD67B7">
        <w:rPr>
          <w:color w:val="000000" w:themeColor="text1"/>
        </w:rPr>
        <w:t xml:space="preserve">The 2014 estimate assumed that free lets followed the same </w:t>
      </w:r>
      <w:r w:rsidR="00363E7F">
        <w:rPr>
          <w:color w:val="000000" w:themeColor="text1"/>
        </w:rPr>
        <w:t>balance</w:t>
      </w:r>
      <w:r w:rsidRPr="00BD67B7">
        <w:rPr>
          <w:color w:val="000000" w:themeColor="text1"/>
        </w:rPr>
        <w:t xml:space="preserve"> of Bands A and B as other lets, however free lets are almost all Band A and </w:t>
      </w:r>
      <w:r w:rsidRPr="00BD67B7">
        <w:rPr>
          <w:color w:val="000000" w:themeColor="text1"/>
        </w:rPr>
        <w:lastRenderedPageBreak/>
        <w:t>approximately three quarters of these qualify for 50% discount as participants are under 18s.</w:t>
      </w:r>
    </w:p>
    <w:p w:rsidR="0049232B" w:rsidRPr="00BD67B7" w:rsidRDefault="0049232B" w:rsidP="0049232B">
      <w:pPr>
        <w:rPr>
          <w:color w:val="000000" w:themeColor="text1"/>
        </w:rPr>
      </w:pPr>
      <w:r w:rsidRPr="00BD67B7">
        <w:rPr>
          <w:color w:val="000000" w:themeColor="text1"/>
        </w:rPr>
        <w:t xml:space="preserve">    </w:t>
      </w:r>
    </w:p>
    <w:p w:rsidR="00373C6D" w:rsidRDefault="0049232B" w:rsidP="00373C6D">
      <w:r w:rsidRPr="00BD67B7">
        <w:rPr>
          <w:color w:val="000000" w:themeColor="text1"/>
        </w:rPr>
        <w:t>Given the current budget is £208,497 (including PPP and non</w:t>
      </w:r>
      <w:r w:rsidR="00363E7F">
        <w:rPr>
          <w:color w:val="000000" w:themeColor="text1"/>
        </w:rPr>
        <w:t>-</w:t>
      </w:r>
      <w:r w:rsidRPr="00BD67B7">
        <w:rPr>
          <w:color w:val="000000" w:themeColor="text1"/>
        </w:rPr>
        <w:t>PPP</w:t>
      </w:r>
      <w:r w:rsidR="00363E7F">
        <w:rPr>
          <w:color w:val="000000" w:themeColor="text1"/>
        </w:rPr>
        <w:t xml:space="preserve"> schools</w:t>
      </w:r>
      <w:r w:rsidRPr="00BD67B7">
        <w:rPr>
          <w:color w:val="000000" w:themeColor="text1"/>
        </w:rPr>
        <w:t xml:space="preserve"> where lets are not managed by HLH), the budget would need to increase to £390,526 </w:t>
      </w:r>
      <w:r w:rsidR="00BD67B7">
        <w:rPr>
          <w:color w:val="000000" w:themeColor="text1"/>
        </w:rPr>
        <w:t>t</w:t>
      </w:r>
      <w:r w:rsidR="00363E7F">
        <w:rPr>
          <w:color w:val="000000" w:themeColor="text1"/>
        </w:rPr>
        <w:t>o recoup the complete saving which</w:t>
      </w:r>
      <w:r w:rsidR="00BD67B7">
        <w:rPr>
          <w:color w:val="000000" w:themeColor="text1"/>
        </w:rPr>
        <w:t xml:space="preserve"> </w:t>
      </w:r>
      <w:r w:rsidR="00BD67B7">
        <w:t>means that lets budgets would</w:t>
      </w:r>
      <w:r w:rsidR="00363E7F">
        <w:t xml:space="preserve"> be</w:t>
      </w:r>
      <w:r w:rsidR="00BD67B7">
        <w:t xml:space="preserve"> £1</w:t>
      </w:r>
      <w:r w:rsidR="00AC509D">
        <w:t>71,289 in deficit, based on 16/17 out-turn.</w:t>
      </w:r>
      <w:r w:rsidR="00B80155">
        <w:t xml:space="preserve"> Options for </w:t>
      </w:r>
      <w:r w:rsidR="00BD67B7">
        <w:t>addressing the deficit by reducing costs and/or increasing income are examined in the following sections.</w:t>
      </w:r>
    </w:p>
    <w:p w:rsidR="00AA54C0" w:rsidRDefault="00AA54C0" w:rsidP="00373C6D">
      <w:pPr>
        <w:rPr>
          <w:b/>
        </w:rPr>
      </w:pPr>
    </w:p>
    <w:p w:rsidR="00340CB7" w:rsidRPr="00373C6D" w:rsidRDefault="00841762" w:rsidP="00373C6D">
      <w:pPr>
        <w:rPr>
          <w:b/>
          <w:color w:val="000000" w:themeColor="text1"/>
        </w:rPr>
      </w:pPr>
      <w:r w:rsidRPr="00373C6D">
        <w:rPr>
          <w:b/>
        </w:rPr>
        <w:t xml:space="preserve">2. </w:t>
      </w:r>
      <w:r w:rsidR="00BD68EB" w:rsidRPr="00373C6D">
        <w:rPr>
          <w:b/>
        </w:rPr>
        <w:tab/>
      </w:r>
      <w:r w:rsidR="00160E93" w:rsidRPr="00373C6D">
        <w:rPr>
          <w:b/>
        </w:rPr>
        <w:t>Con</w:t>
      </w:r>
      <w:r w:rsidR="009E3D31" w:rsidRPr="00373C6D">
        <w:rPr>
          <w:b/>
        </w:rPr>
        <w:t>trol C</w:t>
      </w:r>
      <w:r w:rsidR="00340CB7" w:rsidRPr="00373C6D">
        <w:rPr>
          <w:b/>
        </w:rPr>
        <w:t>osts</w:t>
      </w:r>
    </w:p>
    <w:p w:rsidR="00340CB7" w:rsidRDefault="00340CB7" w:rsidP="002C7401"/>
    <w:p w:rsidR="00340CB7" w:rsidRPr="00D83726" w:rsidRDefault="00061939" w:rsidP="002C7401">
      <w:pPr>
        <w:rPr>
          <w:b/>
        </w:rPr>
      </w:pPr>
      <w:r w:rsidRPr="00D83726">
        <w:rPr>
          <w:b/>
        </w:rPr>
        <w:t>2.1</w:t>
      </w:r>
      <w:r w:rsidRPr="00D83726">
        <w:rPr>
          <w:b/>
        </w:rPr>
        <w:tab/>
      </w:r>
      <w:r w:rsidR="00B47944">
        <w:rPr>
          <w:b/>
        </w:rPr>
        <w:t>Redesigned Booking P</w:t>
      </w:r>
      <w:r w:rsidR="005567FD" w:rsidRPr="00D83726">
        <w:rPr>
          <w:b/>
        </w:rPr>
        <w:t>rocess (Lean)</w:t>
      </w:r>
    </w:p>
    <w:p w:rsidR="00340CB7" w:rsidRDefault="00340CB7" w:rsidP="002C7401"/>
    <w:p w:rsidR="00D83726" w:rsidRDefault="00C614EA" w:rsidP="002C7401">
      <w:r>
        <w:t>The bo</w:t>
      </w:r>
      <w:r w:rsidR="00061939">
        <w:t>o</w:t>
      </w:r>
      <w:r w:rsidR="00D83726">
        <w:t>king process is being</w:t>
      </w:r>
      <w:r w:rsidR="003B0CD6">
        <w:t xml:space="preserve"> redesigned as</w:t>
      </w:r>
      <w:r>
        <w:t xml:space="preserve"> a lean project. Once implemented</w:t>
      </w:r>
      <w:r w:rsidR="009E3D31">
        <w:t xml:space="preserve"> the redesigned process will deliver</w:t>
      </w:r>
      <w:r w:rsidR="003B0CD6">
        <w:t xml:space="preserve"> an imp</w:t>
      </w:r>
      <w:r w:rsidR="00061939">
        <w:t>roved service by reducing the amount of tim</w:t>
      </w:r>
      <w:r w:rsidR="009E3D31">
        <w:t>e</w:t>
      </w:r>
      <w:r w:rsidR="00684057">
        <w:t xml:space="preserve"> it takes to complete the process and</w:t>
      </w:r>
      <w:r w:rsidR="009E3D31">
        <w:t xml:space="preserve"> by eliminating</w:t>
      </w:r>
      <w:r w:rsidR="00061939">
        <w:t xml:space="preserve"> duplication and non-productive steps.</w:t>
      </w:r>
      <w:r w:rsidR="009E3D31">
        <w:t xml:space="preserve"> I</w:t>
      </w:r>
      <w:r w:rsidR="00D83726">
        <w:t xml:space="preserve">t will reduce </w:t>
      </w:r>
      <w:r w:rsidR="003B0CD6">
        <w:t>the</w:t>
      </w:r>
      <w:r w:rsidR="00D83726">
        <w:t xml:space="preserve"> admin burden on HTs and reduce costs by reduc</w:t>
      </w:r>
      <w:r w:rsidR="003B0CD6">
        <w:t>ing the</w:t>
      </w:r>
      <w:r w:rsidR="00D83726">
        <w:t xml:space="preserve"> need for</w:t>
      </w:r>
      <w:r w:rsidR="003B0CD6">
        <w:t xml:space="preserve"> school office</w:t>
      </w:r>
      <w:r w:rsidR="00D83726">
        <w:t xml:space="preserve"> involvement</w:t>
      </w:r>
      <w:r w:rsidR="003B0CD6">
        <w:t xml:space="preserve">. </w:t>
      </w:r>
      <w:r w:rsidR="00D83726">
        <w:t>The creation</w:t>
      </w:r>
      <w:r w:rsidR="003B0CD6">
        <w:t xml:space="preserve"> of a </w:t>
      </w:r>
      <w:r w:rsidR="00D83726">
        <w:t>central booking function</w:t>
      </w:r>
      <w:r w:rsidR="003B0CD6">
        <w:t xml:space="preserve"> </w:t>
      </w:r>
      <w:r w:rsidR="009E3D31">
        <w:t>(</w:t>
      </w:r>
      <w:r w:rsidR="003B0CD6">
        <w:t>in PFM</w:t>
      </w:r>
      <w:r w:rsidR="009E3D31">
        <w:t>)</w:t>
      </w:r>
      <w:r w:rsidR="003B0CD6">
        <w:t xml:space="preserve">, </w:t>
      </w:r>
      <w:r w:rsidR="00D83726">
        <w:t>managing l</w:t>
      </w:r>
      <w:r w:rsidR="009E3D31">
        <w:t>ets based on pre-</w:t>
      </w:r>
      <w:r w:rsidR="00D83726">
        <w:t>agreed tim</w:t>
      </w:r>
      <w:r w:rsidR="003B0CD6">
        <w:t>e</w:t>
      </w:r>
      <w:r w:rsidR="00D83726">
        <w:t>s and facilities in</w:t>
      </w:r>
      <w:r w:rsidR="003B0CD6">
        <w:t xml:space="preserve"> </w:t>
      </w:r>
      <w:r w:rsidR="007F20E6">
        <w:t xml:space="preserve">the </w:t>
      </w:r>
      <w:r w:rsidR="003B0CD6">
        <w:t>schools</w:t>
      </w:r>
      <w:r w:rsidR="00D83726">
        <w:t xml:space="preserve"> open for lets</w:t>
      </w:r>
      <w:r w:rsidR="009E3D31">
        <w:t>,</w:t>
      </w:r>
      <w:r w:rsidR="003B0CD6">
        <w:t xml:space="preserve"> </w:t>
      </w:r>
      <w:r w:rsidR="005E5254">
        <w:t xml:space="preserve">will </w:t>
      </w:r>
      <w:r w:rsidR="003B0CD6">
        <w:t>allo</w:t>
      </w:r>
      <w:r w:rsidR="005E5254">
        <w:t>w</w:t>
      </w:r>
      <w:r w:rsidR="00D83726">
        <w:t xml:space="preserve"> consistent and rapid allocation of PFM staff to facilitate lets.</w:t>
      </w:r>
      <w:r w:rsidR="009E3D31">
        <w:t xml:space="preserve"> </w:t>
      </w:r>
      <w:r w:rsidR="00684057">
        <w:t>Furthermore a</w:t>
      </w:r>
      <w:r w:rsidR="00D83726">
        <w:t xml:space="preserve"> ce</w:t>
      </w:r>
      <w:r w:rsidR="009E3D31">
        <w:t>ntral booking function will</w:t>
      </w:r>
      <w:r w:rsidR="00BD68EB">
        <w:t xml:space="preserve"> ensu</w:t>
      </w:r>
      <w:r w:rsidR="00D83726">
        <w:t>re consistent and transparent ap</w:t>
      </w:r>
      <w:r w:rsidR="00684057">
        <w:t>plication of the pricing policy.</w:t>
      </w:r>
    </w:p>
    <w:p w:rsidR="005567FD" w:rsidRDefault="005567FD" w:rsidP="002C7401"/>
    <w:p w:rsidR="005567FD" w:rsidRPr="000634C1" w:rsidRDefault="00061939" w:rsidP="00566E34">
      <w:pPr>
        <w:pStyle w:val="Heading2"/>
      </w:pPr>
      <w:r w:rsidRPr="000634C1">
        <w:t>2.2</w:t>
      </w:r>
      <w:r w:rsidRPr="000634C1">
        <w:tab/>
      </w:r>
      <w:r w:rsidR="00B47944">
        <w:t>Rationalise the Schools Open for Evening L</w:t>
      </w:r>
      <w:r w:rsidR="000634C1" w:rsidRPr="000634C1">
        <w:t>ets</w:t>
      </w:r>
    </w:p>
    <w:p w:rsidR="005567FD" w:rsidRDefault="005567FD" w:rsidP="002C7401"/>
    <w:p w:rsidR="005567FD" w:rsidRDefault="005567FD" w:rsidP="002C7401">
      <w:r>
        <w:t>The project aims to dir</w:t>
      </w:r>
      <w:r w:rsidR="008B3726">
        <w:t>ect lets to selected premises in each Associated School Group (ASG)</w:t>
      </w:r>
      <w:r w:rsidR="00D92717">
        <w:t xml:space="preserve"> delivering a</w:t>
      </w:r>
      <w:r>
        <w:t xml:space="preserve"> more efficient use</w:t>
      </w:r>
      <w:r w:rsidR="009E3D31">
        <w:t xml:space="preserve"> of staff</w:t>
      </w:r>
      <w:r w:rsidR="008B3726">
        <w:t xml:space="preserve"> and premises. </w:t>
      </w:r>
      <w:r w:rsidR="00780BB2">
        <w:t>A review of prem</w:t>
      </w:r>
      <w:r w:rsidR="008B3726">
        <w:t xml:space="preserve">ises will be carried out </w:t>
      </w:r>
      <w:r w:rsidR="009E3D31">
        <w:t xml:space="preserve">on an ASG by ASG basis, </w:t>
      </w:r>
      <w:r w:rsidR="008B3726">
        <w:t xml:space="preserve">in consultation with HTs </w:t>
      </w:r>
      <w:r>
        <w:t>and w</w:t>
      </w:r>
      <w:r w:rsidR="008B3726">
        <w:t>ill follow the following princi</w:t>
      </w:r>
      <w:r>
        <w:t>ples</w:t>
      </w:r>
      <w:r w:rsidR="008B3726">
        <w:t>:</w:t>
      </w:r>
    </w:p>
    <w:p w:rsidR="005567FD" w:rsidRPr="007F20E6" w:rsidRDefault="003B0CD6" w:rsidP="008B3726">
      <w:pPr>
        <w:pStyle w:val="ListParagraph"/>
        <w:numPr>
          <w:ilvl w:val="0"/>
          <w:numId w:val="24"/>
        </w:numPr>
        <w:rPr>
          <w:color w:val="000000" w:themeColor="text1"/>
        </w:rPr>
      </w:pPr>
      <w:r w:rsidRPr="007F20E6">
        <w:rPr>
          <w:color w:val="000000" w:themeColor="text1"/>
        </w:rPr>
        <w:t>Facilities</w:t>
      </w:r>
      <w:r w:rsidR="008B3726" w:rsidRPr="007F20E6">
        <w:rPr>
          <w:color w:val="000000" w:themeColor="text1"/>
        </w:rPr>
        <w:t xml:space="preserve"> – the schools with the best facilities should remain available - often these are situated at the</w:t>
      </w:r>
      <w:r w:rsidR="005567FD" w:rsidRPr="007F20E6">
        <w:rPr>
          <w:color w:val="000000" w:themeColor="text1"/>
        </w:rPr>
        <w:t xml:space="preserve"> secondary school in each ASG</w:t>
      </w:r>
    </w:p>
    <w:p w:rsidR="005567FD" w:rsidRPr="007F20E6" w:rsidRDefault="005567FD" w:rsidP="008B3726">
      <w:pPr>
        <w:pStyle w:val="ListParagraph"/>
        <w:numPr>
          <w:ilvl w:val="0"/>
          <w:numId w:val="24"/>
        </w:numPr>
        <w:rPr>
          <w:color w:val="000000" w:themeColor="text1"/>
        </w:rPr>
      </w:pPr>
      <w:r w:rsidRPr="007F20E6">
        <w:rPr>
          <w:color w:val="000000" w:themeColor="text1"/>
        </w:rPr>
        <w:t>How</w:t>
      </w:r>
      <w:r w:rsidR="008B3726" w:rsidRPr="007F20E6">
        <w:rPr>
          <w:color w:val="000000" w:themeColor="text1"/>
        </w:rPr>
        <w:t xml:space="preserve"> bus</w:t>
      </w:r>
      <w:r w:rsidRPr="007F20E6">
        <w:rPr>
          <w:color w:val="000000" w:themeColor="text1"/>
        </w:rPr>
        <w:t>y</w:t>
      </w:r>
      <w:r w:rsidR="009E3D31" w:rsidRPr="007F20E6">
        <w:rPr>
          <w:color w:val="000000" w:themeColor="text1"/>
        </w:rPr>
        <w:t xml:space="preserve"> – lets should be focused</w:t>
      </w:r>
      <w:r w:rsidR="008B3726" w:rsidRPr="007F20E6">
        <w:rPr>
          <w:color w:val="000000" w:themeColor="text1"/>
        </w:rPr>
        <w:t xml:space="preserve"> in the busiest schools to minimise disruption </w:t>
      </w:r>
      <w:r w:rsidRPr="007F20E6">
        <w:rPr>
          <w:color w:val="000000" w:themeColor="text1"/>
        </w:rPr>
        <w:t>a</w:t>
      </w:r>
      <w:r w:rsidR="00D92717">
        <w:rPr>
          <w:color w:val="000000" w:themeColor="text1"/>
        </w:rPr>
        <w:t>nd to support</w:t>
      </w:r>
      <w:r w:rsidR="008B3726" w:rsidRPr="007F20E6">
        <w:rPr>
          <w:color w:val="000000" w:themeColor="text1"/>
        </w:rPr>
        <w:t xml:space="preserve"> community </w:t>
      </w:r>
      <w:r w:rsidRPr="007F20E6">
        <w:rPr>
          <w:color w:val="000000" w:themeColor="text1"/>
        </w:rPr>
        <w:t>activity</w:t>
      </w:r>
    </w:p>
    <w:p w:rsidR="007E6F66" w:rsidRPr="007F20E6" w:rsidRDefault="009E3D31" w:rsidP="008B3726">
      <w:pPr>
        <w:pStyle w:val="ListParagraph"/>
        <w:numPr>
          <w:ilvl w:val="0"/>
          <w:numId w:val="24"/>
        </w:numPr>
        <w:rPr>
          <w:color w:val="000000" w:themeColor="text1"/>
        </w:rPr>
      </w:pPr>
      <w:r w:rsidRPr="007F20E6">
        <w:rPr>
          <w:color w:val="000000" w:themeColor="text1"/>
        </w:rPr>
        <w:t>PPP2 – where appropriate</w:t>
      </w:r>
      <w:r w:rsidR="008B3726" w:rsidRPr="007F20E6">
        <w:rPr>
          <w:color w:val="000000" w:themeColor="text1"/>
        </w:rPr>
        <w:t>, lets should be directed to</w:t>
      </w:r>
      <w:r w:rsidR="007E6F66" w:rsidRPr="007F20E6">
        <w:rPr>
          <w:color w:val="000000" w:themeColor="text1"/>
        </w:rPr>
        <w:t xml:space="preserve"> PPP</w:t>
      </w:r>
      <w:r w:rsidR="008B3726" w:rsidRPr="007F20E6">
        <w:rPr>
          <w:color w:val="000000" w:themeColor="text1"/>
        </w:rPr>
        <w:t>2</w:t>
      </w:r>
      <w:r w:rsidR="007E6F66" w:rsidRPr="007F20E6">
        <w:rPr>
          <w:color w:val="000000" w:themeColor="text1"/>
        </w:rPr>
        <w:t xml:space="preserve"> sch</w:t>
      </w:r>
      <w:r w:rsidRPr="007F20E6">
        <w:rPr>
          <w:color w:val="000000" w:themeColor="text1"/>
        </w:rPr>
        <w:t>ools to ensure that</w:t>
      </w:r>
      <w:r w:rsidR="00363E7F">
        <w:rPr>
          <w:color w:val="000000" w:themeColor="text1"/>
        </w:rPr>
        <w:t xml:space="preserve"> the</w:t>
      </w:r>
      <w:r w:rsidRPr="007F20E6">
        <w:rPr>
          <w:color w:val="000000" w:themeColor="text1"/>
        </w:rPr>
        <w:t xml:space="preserve"> </w:t>
      </w:r>
      <w:r w:rsidR="007F20E6" w:rsidRPr="007F20E6">
        <w:rPr>
          <w:color w:val="000000" w:themeColor="text1"/>
        </w:rPr>
        <w:t>contracted allocation of hours is fully utilised</w:t>
      </w:r>
    </w:p>
    <w:p w:rsidR="007E6F66" w:rsidRDefault="007E6F66" w:rsidP="008B3726">
      <w:pPr>
        <w:pStyle w:val="ListParagraph"/>
        <w:numPr>
          <w:ilvl w:val="0"/>
          <w:numId w:val="24"/>
        </w:numPr>
      </w:pPr>
      <w:r w:rsidRPr="007F20E6">
        <w:rPr>
          <w:color w:val="000000" w:themeColor="text1"/>
        </w:rPr>
        <w:t xml:space="preserve">Local </w:t>
      </w:r>
      <w:r w:rsidR="008B3726" w:rsidRPr="007F20E6">
        <w:rPr>
          <w:color w:val="000000" w:themeColor="text1"/>
        </w:rPr>
        <w:t>facilities</w:t>
      </w:r>
      <w:r w:rsidRPr="007F20E6">
        <w:rPr>
          <w:color w:val="000000" w:themeColor="text1"/>
        </w:rPr>
        <w:t xml:space="preserve"> – account needs to be ta</w:t>
      </w:r>
      <w:r w:rsidR="008B3726" w:rsidRPr="007F20E6">
        <w:rPr>
          <w:color w:val="000000" w:themeColor="text1"/>
        </w:rPr>
        <w:t>ken</w:t>
      </w:r>
      <w:r w:rsidR="007F20E6">
        <w:rPr>
          <w:color w:val="000000" w:themeColor="text1"/>
        </w:rPr>
        <w:t xml:space="preserve"> of local facilities so that using</w:t>
      </w:r>
      <w:r w:rsidR="008B3726" w:rsidRPr="007F20E6">
        <w:rPr>
          <w:color w:val="000000" w:themeColor="text1"/>
        </w:rPr>
        <w:t xml:space="preserve"> schools does not undermin</w:t>
      </w:r>
      <w:r w:rsidRPr="007F20E6">
        <w:rPr>
          <w:color w:val="000000" w:themeColor="text1"/>
        </w:rPr>
        <w:t xml:space="preserve">e the </w:t>
      </w:r>
      <w:r w:rsidR="008B3726" w:rsidRPr="007F20E6">
        <w:rPr>
          <w:color w:val="000000" w:themeColor="text1"/>
        </w:rPr>
        <w:t>viability</w:t>
      </w:r>
      <w:r w:rsidRPr="007F20E6">
        <w:rPr>
          <w:color w:val="000000" w:themeColor="text1"/>
        </w:rPr>
        <w:t xml:space="preserve"> of community </w:t>
      </w:r>
      <w:r>
        <w:t xml:space="preserve">run </w:t>
      </w:r>
      <w:r w:rsidR="008B3726">
        <w:t>facilities</w:t>
      </w:r>
      <w:r w:rsidR="00684057">
        <w:t>.</w:t>
      </w:r>
    </w:p>
    <w:p w:rsidR="008B3726" w:rsidRDefault="008B3726" w:rsidP="002C7401"/>
    <w:p w:rsidR="005567FD" w:rsidRDefault="00780BB2" w:rsidP="002C7401">
      <w:r>
        <w:t>I</w:t>
      </w:r>
      <w:r w:rsidR="00F22394">
        <w:t>n</w:t>
      </w:r>
      <w:r w:rsidR="008B3726">
        <w:t xml:space="preserve"> </w:t>
      </w:r>
      <w:r>
        <w:t>the busiest</w:t>
      </w:r>
      <w:r w:rsidR="008B3726">
        <w:t xml:space="preserve"> and </w:t>
      </w:r>
      <w:r w:rsidR="00363E7F">
        <w:t xml:space="preserve">fully serviced/ </w:t>
      </w:r>
      <w:r w:rsidR="008B3726">
        <w:t>staffed</w:t>
      </w:r>
      <w:r>
        <w:t xml:space="preserve"> </w:t>
      </w:r>
      <w:r w:rsidR="008B3726">
        <w:t>facilities</w:t>
      </w:r>
      <w:r>
        <w:t xml:space="preserve">, much </w:t>
      </w:r>
      <w:r w:rsidR="008B3726">
        <w:t>shorter</w:t>
      </w:r>
      <w:r>
        <w:t xml:space="preserve"> booking</w:t>
      </w:r>
      <w:r w:rsidR="008B3726">
        <w:t xml:space="preserve"> le</w:t>
      </w:r>
      <w:r w:rsidR="00684057">
        <w:t xml:space="preserve">ad times should be </w:t>
      </w:r>
      <w:r w:rsidR="007F20E6">
        <w:t>possible</w:t>
      </w:r>
      <w:r w:rsidR="00684057">
        <w:t xml:space="preserve"> for </w:t>
      </w:r>
      <w:r w:rsidR="008B3726">
        <w:t>pre-agr</w:t>
      </w:r>
      <w:r>
        <w:t xml:space="preserve">eed </w:t>
      </w:r>
      <w:r w:rsidR="008B3726">
        <w:t>facilities</w:t>
      </w:r>
      <w:r>
        <w:t xml:space="preserve"> </w:t>
      </w:r>
      <w:r w:rsidR="008B3726">
        <w:t>and tim</w:t>
      </w:r>
      <w:r>
        <w:t xml:space="preserve">e slots. </w:t>
      </w:r>
      <w:r w:rsidR="003B0CD6">
        <w:t>Otherwise</w:t>
      </w:r>
      <w:r w:rsidR="007F20E6">
        <w:t>,</w:t>
      </w:r>
      <w:r w:rsidR="003B0CD6">
        <w:t xml:space="preserve"> </w:t>
      </w:r>
      <w:r w:rsidR="008B3726">
        <w:t>reducing the nu</w:t>
      </w:r>
      <w:r w:rsidR="003B0CD6">
        <w:t>m</w:t>
      </w:r>
      <w:r w:rsidR="008B3726">
        <w:t>b</w:t>
      </w:r>
      <w:r w:rsidR="003B0CD6">
        <w:t xml:space="preserve">er of </w:t>
      </w:r>
      <w:r w:rsidR="008B3726">
        <w:t>facilities</w:t>
      </w:r>
      <w:r w:rsidR="003B0CD6">
        <w:t xml:space="preserve"> open for single lets </w:t>
      </w:r>
      <w:r w:rsidR="008B3726">
        <w:t>reduces</w:t>
      </w:r>
      <w:r w:rsidR="007F20E6">
        <w:t xml:space="preserve"> the need for staff</w:t>
      </w:r>
      <w:r w:rsidR="00E435E8">
        <w:t xml:space="preserve"> </w:t>
      </w:r>
      <w:r w:rsidR="00D92717">
        <w:t>and reduces</w:t>
      </w:r>
      <w:r w:rsidR="007F20E6">
        <w:t xml:space="preserve"> wear and tear and utilit</w:t>
      </w:r>
      <w:r w:rsidR="00E435E8">
        <w:t>ies costs. In fully serviced</w:t>
      </w:r>
      <w:r w:rsidR="0081464F">
        <w:t xml:space="preserve"> facilities re-organisation of rotas will reduce the need for overtime, although it is noted that all </w:t>
      </w:r>
      <w:r w:rsidR="00AD2837">
        <w:t xml:space="preserve">daytime/evening to 10pm </w:t>
      </w:r>
      <w:r w:rsidR="00AD2837">
        <w:lastRenderedPageBreak/>
        <w:t xml:space="preserve">weekend working (straight time </w:t>
      </w:r>
      <w:r w:rsidR="00363E7F">
        <w:t>or overtime) is paid at time-and-a-</w:t>
      </w:r>
      <w:r w:rsidR="0081464F">
        <w:t>half.</w:t>
      </w:r>
      <w:r w:rsidR="00786A54">
        <w:t xml:space="preserve"> </w:t>
      </w:r>
      <w:r w:rsidR="00363E7F">
        <w:t xml:space="preserve"> Having f</w:t>
      </w:r>
      <w:r w:rsidR="00806EF0">
        <w:t>acilities that are staff</w:t>
      </w:r>
      <w:r w:rsidR="00363E7F">
        <w:t>ed and serviced during lets</w:t>
      </w:r>
      <w:r w:rsidR="00806EF0">
        <w:t xml:space="preserve"> also support</w:t>
      </w:r>
      <w:r w:rsidR="00363E7F">
        <w:t>s</w:t>
      </w:r>
      <w:r w:rsidR="00806EF0">
        <w:t xml:space="preserve"> implementa</w:t>
      </w:r>
      <w:r w:rsidR="00D92717">
        <w:t>tion of Council security policy, and ensures buildings are safe for users.</w:t>
      </w:r>
    </w:p>
    <w:p w:rsidR="005F2040" w:rsidRDefault="005F2040" w:rsidP="002C7401"/>
    <w:p w:rsidR="003B5CE4" w:rsidRDefault="005567FD" w:rsidP="002C7401">
      <w:r>
        <w:t>All schools</w:t>
      </w:r>
      <w:r w:rsidR="003B5CE4">
        <w:t>, whether available for lets or not,</w:t>
      </w:r>
      <w:r>
        <w:t xml:space="preserve"> wi</w:t>
      </w:r>
      <w:r w:rsidR="003B5CE4">
        <w:t>l</w:t>
      </w:r>
      <w:r>
        <w:t>l still be a</w:t>
      </w:r>
      <w:r w:rsidR="00786A54">
        <w:t>ble to host their o</w:t>
      </w:r>
      <w:r w:rsidR="003B5CE4">
        <w:t>wn evening activities e.g. parent ev</w:t>
      </w:r>
      <w:r>
        <w:t>en</w:t>
      </w:r>
      <w:r w:rsidR="003B5CE4">
        <w:t>ings, school concerts, fun</w:t>
      </w:r>
      <w:r>
        <w:t>dra</w:t>
      </w:r>
      <w:r w:rsidR="003B5CE4">
        <w:t>is</w:t>
      </w:r>
      <w:r>
        <w:t>ing events</w:t>
      </w:r>
      <w:r w:rsidR="003B5CE4">
        <w:t xml:space="preserve"> etc. Where</w:t>
      </w:r>
      <w:r w:rsidR="007F20E6">
        <w:t xml:space="preserve"> PFM</w:t>
      </w:r>
      <w:r w:rsidR="003B5CE4">
        <w:t xml:space="preserve"> support is required for these events, it will booked as at present.</w:t>
      </w:r>
      <w:r w:rsidR="00363E7F">
        <w:t xml:space="preserve"> Note, it is also important that even where PFM staff are not required to facilitate a school event, a record should still be kept of the let for security and liability</w:t>
      </w:r>
      <w:r w:rsidR="00D92717">
        <w:t xml:space="preserve"> purposes</w:t>
      </w:r>
      <w:r w:rsidR="00363E7F">
        <w:t>. A quick</w:t>
      </w:r>
      <w:r w:rsidR="00C116FC">
        <w:t>, “</w:t>
      </w:r>
      <w:r w:rsidR="00363E7F">
        <w:t>light  touch</w:t>
      </w:r>
      <w:r w:rsidR="00C116FC">
        <w:t>”</w:t>
      </w:r>
      <w:r w:rsidR="00363E7F">
        <w:t xml:space="preserve"> process will be required for this.</w:t>
      </w:r>
      <w:r w:rsidR="00C116FC">
        <w:t xml:space="preserve"> </w:t>
      </w:r>
      <w:r w:rsidR="003B5CE4">
        <w:t>Similarly many sc</w:t>
      </w:r>
      <w:r>
        <w:t>hools are busy</w:t>
      </w:r>
      <w:r w:rsidR="003B5CE4">
        <w:t xml:space="preserve"> </w:t>
      </w:r>
      <w:r w:rsidR="00D92717">
        <w:t xml:space="preserve"> </w:t>
      </w:r>
      <w:r w:rsidR="003B5CE4">
        <w:t>up to 6pm</w:t>
      </w:r>
      <w:r>
        <w:t xml:space="preserve"> with after school</w:t>
      </w:r>
      <w:r w:rsidR="003B5CE4">
        <w:t xml:space="preserve"> clubs a</w:t>
      </w:r>
      <w:r w:rsidR="00AD2837">
        <w:t>nd activities</w:t>
      </w:r>
      <w:r w:rsidR="00C116FC">
        <w:t>,</w:t>
      </w:r>
      <w:r w:rsidR="00AD2837">
        <w:t xml:space="preserve"> including Active S</w:t>
      </w:r>
      <w:r w:rsidR="003B5CE4">
        <w:t>chools and other sports clubs and</w:t>
      </w:r>
      <w:r>
        <w:t xml:space="preserve"> activit</w:t>
      </w:r>
      <w:r w:rsidR="003B5CE4">
        <w:t>i</w:t>
      </w:r>
      <w:r>
        <w:t>es. These</w:t>
      </w:r>
      <w:r w:rsidR="003B5CE4">
        <w:t xml:space="preserve"> will continue to be available in all schools and current building closing arrangements will continue.</w:t>
      </w:r>
      <w:r w:rsidR="00BA344A">
        <w:t xml:space="preserve"> Where schools are</w:t>
      </w:r>
      <w:r w:rsidR="00D92717">
        <w:t xml:space="preserve"> selected to</w:t>
      </w:r>
      <w:r w:rsidR="00BA344A">
        <w:t xml:space="preserve"> open for </w:t>
      </w:r>
      <w:r w:rsidR="00D92717">
        <w:t xml:space="preserve">evening </w:t>
      </w:r>
      <w:r w:rsidR="00BA344A">
        <w:t>lets, the school will get first refusal on slots</w:t>
      </w:r>
      <w:r w:rsidR="00A35E1B">
        <w:t xml:space="preserve"> and be able to block out dates in the calendar</w:t>
      </w:r>
      <w:r w:rsidR="00BA344A">
        <w:t xml:space="preserve"> to ensure facilities are available for school events.</w:t>
      </w:r>
    </w:p>
    <w:p w:rsidR="003B5CE4" w:rsidRDefault="003B5CE4" w:rsidP="002C7401"/>
    <w:p w:rsidR="00D123EE" w:rsidRDefault="00780BB2" w:rsidP="002C7401">
      <w:r>
        <w:t>70% of lets take pla</w:t>
      </w:r>
      <w:r w:rsidR="003B5CE4">
        <w:t>ce in Inv</w:t>
      </w:r>
      <w:r>
        <w:t>erness and Nairn ASGs</w:t>
      </w:r>
      <w:r w:rsidR="003B5CE4">
        <w:t>. These will be the focus for the first stage of rationalising premise</w:t>
      </w:r>
      <w:r w:rsidR="00AD2837">
        <w:t>s</w:t>
      </w:r>
      <w:r w:rsidR="003B5CE4">
        <w:t xml:space="preserve"> availabl</w:t>
      </w:r>
      <w:r w:rsidR="00AD2837">
        <w:t xml:space="preserve">e for lets. </w:t>
      </w:r>
      <w:r w:rsidR="00EC2BFE">
        <w:t xml:space="preserve">Thurso, </w:t>
      </w:r>
      <w:r w:rsidR="00D123EE">
        <w:t>Fortrose, Invergordon ASGs</w:t>
      </w:r>
      <w:r w:rsidR="00EC2BFE">
        <w:t xml:space="preserve"> </w:t>
      </w:r>
      <w:r w:rsidR="00D123EE">
        <w:t>also have significant number of lets, In many rural areas there are very few lets recorded (11</w:t>
      </w:r>
      <w:r w:rsidR="00AD2837">
        <w:t xml:space="preserve"> </w:t>
      </w:r>
      <w:r w:rsidR="00D123EE">
        <w:t>ASGs had fewer than 100 lets in 2016/17)</w:t>
      </w:r>
      <w:r w:rsidR="00F22394">
        <w:t>,</w:t>
      </w:r>
      <w:r w:rsidR="00AD2837">
        <w:t xml:space="preserve"> </w:t>
      </w:r>
      <w:r w:rsidR="00D123EE">
        <w:t xml:space="preserve">suggesting the only </w:t>
      </w:r>
      <w:r w:rsidR="00684057">
        <w:t xml:space="preserve">suitable </w:t>
      </w:r>
      <w:r w:rsidR="00D123EE">
        <w:t>approach is to accommodate lets on request where resource</w:t>
      </w:r>
      <w:r w:rsidR="00AD2837">
        <w:t>s</w:t>
      </w:r>
      <w:r w:rsidR="00D123EE">
        <w:t xml:space="preserve"> are available, as at present. </w:t>
      </w:r>
    </w:p>
    <w:p w:rsidR="007E6F66" w:rsidRDefault="007E6F66" w:rsidP="002C7401"/>
    <w:p w:rsidR="008B02B1" w:rsidRDefault="00D123EE" w:rsidP="002C7401">
      <w:r>
        <w:t xml:space="preserve">The project is piloting </w:t>
      </w:r>
      <w:r w:rsidR="008B02B1">
        <w:t>the ASG by ASG</w:t>
      </w:r>
      <w:r>
        <w:t xml:space="preserve"> rationalisation in Culloden ASG. </w:t>
      </w:r>
      <w:r w:rsidR="008B02B1">
        <w:t>Following discussions with HTs agre</w:t>
      </w:r>
      <w:r>
        <w:t>ement</w:t>
      </w:r>
      <w:r w:rsidR="008B02B1">
        <w:t xml:space="preserve"> has been reached</w:t>
      </w:r>
      <w:r>
        <w:t xml:space="preserve"> that l</w:t>
      </w:r>
      <w:r w:rsidR="008B02B1">
        <w:t>ets will be accommodated in</w:t>
      </w:r>
      <w:r>
        <w:t xml:space="preserve"> Culloden Academy </w:t>
      </w:r>
      <w:r w:rsidR="008B02B1">
        <w:t xml:space="preserve">and Cradlehall PS </w:t>
      </w:r>
      <w:r>
        <w:t>with exi</w:t>
      </w:r>
      <w:r w:rsidR="008B02B1">
        <w:t>sting lets in Smithton PS</w:t>
      </w:r>
      <w:r>
        <w:t xml:space="preserve"> honoured. </w:t>
      </w:r>
      <w:r w:rsidR="007F20E6">
        <w:t xml:space="preserve">There </w:t>
      </w:r>
      <w:r w:rsidR="006E72B1">
        <w:t>are few or no</w:t>
      </w:r>
      <w:r w:rsidR="007F20E6">
        <w:t xml:space="preserve"> lets in </w:t>
      </w:r>
      <w:r w:rsidR="006E72B1">
        <w:t>Ardesier, Balloch and</w:t>
      </w:r>
      <w:r w:rsidR="007F20E6">
        <w:t xml:space="preserve"> Croy</w:t>
      </w:r>
      <w:r w:rsidR="006E72B1">
        <w:t xml:space="preserve">. There are lets at Duncan Forbes Primary but it </w:t>
      </w:r>
      <w:r w:rsidR="00F1520D">
        <w:t>i</w:t>
      </w:r>
      <w:r w:rsidR="006E72B1">
        <w:t xml:space="preserve">s very close </w:t>
      </w:r>
      <w:r w:rsidR="00A35E1B">
        <w:t xml:space="preserve">to </w:t>
      </w:r>
      <w:r w:rsidR="006E72B1">
        <w:t>C</w:t>
      </w:r>
      <w:r w:rsidR="00A35E1B">
        <w:t>ulloden Academy where</w:t>
      </w:r>
      <w:r w:rsidR="00D92717">
        <w:t xml:space="preserve"> evening</w:t>
      </w:r>
      <w:r w:rsidR="00A35E1B">
        <w:t xml:space="preserve"> lets</w:t>
      </w:r>
      <w:r w:rsidR="006E72B1">
        <w:t xml:space="preserve"> will be di</w:t>
      </w:r>
      <w:r w:rsidR="00F1520D">
        <w:t>rected, although after school activities wi</w:t>
      </w:r>
      <w:r w:rsidR="00A35E1B">
        <w:t>l</w:t>
      </w:r>
      <w:r w:rsidR="00F1520D">
        <w:t xml:space="preserve">l continue as at present. </w:t>
      </w:r>
      <w:r w:rsidR="008B02B1">
        <w:t xml:space="preserve">Detailed discussions are now required around which facilities </w:t>
      </w:r>
      <w:r w:rsidR="00AD2837">
        <w:t xml:space="preserve">and </w:t>
      </w:r>
      <w:r w:rsidR="008B02B1">
        <w:t>time slots will be available</w:t>
      </w:r>
      <w:r w:rsidR="00BA344A">
        <w:t xml:space="preserve"> for lets</w:t>
      </w:r>
      <w:r w:rsidR="008B02B1">
        <w:t xml:space="preserve"> in those selected sch</w:t>
      </w:r>
      <w:r w:rsidR="00BA344A">
        <w:t>ools;</w:t>
      </w:r>
      <w:r w:rsidR="008B02B1">
        <w:t xml:space="preserve"> to address any concerns or safety issues (e.g. ensuring safe fire escape routes)</w:t>
      </w:r>
      <w:r w:rsidR="00BA344A">
        <w:t>;</w:t>
      </w:r>
      <w:r w:rsidR="008B02B1">
        <w:t xml:space="preserve"> and to ensure after school activities in other schools can still be accommodated.</w:t>
      </w:r>
    </w:p>
    <w:p w:rsidR="007E6F66" w:rsidRDefault="007E6F66" w:rsidP="002C7401"/>
    <w:p w:rsidR="007E6F66" w:rsidRPr="000634C1" w:rsidRDefault="00061939" w:rsidP="00566E34">
      <w:pPr>
        <w:pStyle w:val="Heading2"/>
      </w:pPr>
      <w:r w:rsidRPr="000634C1">
        <w:t>2.3</w:t>
      </w:r>
      <w:r w:rsidRPr="000634C1">
        <w:tab/>
      </w:r>
      <w:r w:rsidR="00236E56">
        <w:t>S</w:t>
      </w:r>
      <w:r w:rsidR="00B47944">
        <w:t>taff C</w:t>
      </w:r>
      <w:r w:rsidR="000634C1">
        <w:t>osts</w:t>
      </w:r>
    </w:p>
    <w:p w:rsidR="00061939" w:rsidRDefault="00061939" w:rsidP="002C7401"/>
    <w:p w:rsidR="00BA344A" w:rsidRDefault="00C52FE7" w:rsidP="002C7401">
      <w:pPr>
        <w:rPr>
          <w:color w:val="000000" w:themeColor="text1"/>
        </w:rPr>
      </w:pPr>
      <w:r>
        <w:t>The</w:t>
      </w:r>
      <w:r w:rsidR="00061939">
        <w:t xml:space="preserve">re is significant </w:t>
      </w:r>
      <w:r>
        <w:t>scope to reduce staff costs</w:t>
      </w:r>
      <w:r w:rsidR="000634C1">
        <w:t xml:space="preserve"> associated with facilitating lets. </w:t>
      </w:r>
      <w:r w:rsidR="000634C1" w:rsidRPr="00BA344A">
        <w:rPr>
          <w:color w:val="000000" w:themeColor="text1"/>
        </w:rPr>
        <w:t>Rationalising school premises will reduce the overall need for staff and better management of rotas will reduce the need for overtime</w:t>
      </w:r>
      <w:r w:rsidR="00061939" w:rsidRPr="00BA344A">
        <w:rPr>
          <w:color w:val="000000" w:themeColor="text1"/>
        </w:rPr>
        <w:t>.</w:t>
      </w:r>
      <w:r w:rsidR="002C3A0E" w:rsidRPr="00BA344A">
        <w:rPr>
          <w:color w:val="000000" w:themeColor="text1"/>
        </w:rPr>
        <w:t xml:space="preserve"> </w:t>
      </w:r>
      <w:r w:rsidR="00236E56" w:rsidRPr="00BA344A">
        <w:rPr>
          <w:color w:val="000000" w:themeColor="text1"/>
        </w:rPr>
        <w:t xml:space="preserve">Detailed work on the </w:t>
      </w:r>
      <w:r w:rsidR="00BA344A" w:rsidRPr="00BA344A">
        <w:rPr>
          <w:color w:val="000000" w:themeColor="text1"/>
        </w:rPr>
        <w:t xml:space="preserve">actual </w:t>
      </w:r>
      <w:r w:rsidR="00236E56" w:rsidRPr="00BA344A">
        <w:rPr>
          <w:color w:val="000000" w:themeColor="text1"/>
        </w:rPr>
        <w:t xml:space="preserve">reduction in costs associated with lets can only be completed once it has been agreed which schools will offer lets and once staffing allocations under the roll out of FM are completed.  </w:t>
      </w:r>
    </w:p>
    <w:p w:rsidR="00D92717" w:rsidRDefault="00D92717" w:rsidP="006907AF">
      <w:pPr>
        <w:rPr>
          <w:color w:val="000000" w:themeColor="text1"/>
        </w:rPr>
      </w:pPr>
    </w:p>
    <w:p w:rsidR="005F2040" w:rsidRDefault="005F2040" w:rsidP="006907AF">
      <w:pPr>
        <w:rPr>
          <w:b/>
        </w:rPr>
      </w:pPr>
    </w:p>
    <w:p w:rsidR="006907AF" w:rsidRDefault="006907AF" w:rsidP="006907AF">
      <w:pPr>
        <w:rPr>
          <w:b/>
        </w:rPr>
      </w:pPr>
      <w:r>
        <w:rPr>
          <w:b/>
        </w:rPr>
        <w:lastRenderedPageBreak/>
        <w:t>2.4</w:t>
      </w:r>
      <w:r>
        <w:rPr>
          <w:b/>
        </w:rPr>
        <w:tab/>
      </w:r>
      <w:r w:rsidR="008426A9">
        <w:rPr>
          <w:b/>
        </w:rPr>
        <w:t>Contribution to S</w:t>
      </w:r>
      <w:r w:rsidRPr="00931CE1">
        <w:rPr>
          <w:b/>
        </w:rPr>
        <w:t>avings</w:t>
      </w:r>
    </w:p>
    <w:p w:rsidR="006907AF" w:rsidRDefault="006907AF" w:rsidP="002C7401">
      <w:pPr>
        <w:rPr>
          <w:color w:val="000000" w:themeColor="text1"/>
        </w:rPr>
      </w:pPr>
    </w:p>
    <w:p w:rsidR="00236E56" w:rsidRDefault="006907AF" w:rsidP="002C7401">
      <w:r>
        <w:rPr>
          <w:color w:val="000000" w:themeColor="text1"/>
        </w:rPr>
        <w:t>The</w:t>
      </w:r>
      <w:r w:rsidR="00236E56" w:rsidRPr="00BA344A">
        <w:rPr>
          <w:color w:val="000000" w:themeColor="text1"/>
        </w:rPr>
        <w:t xml:space="preserve"> cost reductions </w:t>
      </w:r>
      <w:r>
        <w:rPr>
          <w:color w:val="000000" w:themeColor="text1"/>
        </w:rPr>
        <w:t xml:space="preserve">outlined above </w:t>
      </w:r>
      <w:r w:rsidR="00236E56" w:rsidRPr="00BA344A">
        <w:rPr>
          <w:color w:val="000000" w:themeColor="text1"/>
        </w:rPr>
        <w:t>are not savings - t</w:t>
      </w:r>
      <w:r w:rsidR="002C3A0E" w:rsidRPr="00BA344A">
        <w:rPr>
          <w:color w:val="000000" w:themeColor="text1"/>
        </w:rPr>
        <w:t>he reduction in staff require</w:t>
      </w:r>
      <w:r w:rsidR="00BA344A">
        <w:rPr>
          <w:color w:val="000000" w:themeColor="text1"/>
        </w:rPr>
        <w:t>ments frees resources so PFM can</w:t>
      </w:r>
      <w:r w:rsidR="002C3A0E" w:rsidRPr="00BA344A">
        <w:rPr>
          <w:color w:val="000000" w:themeColor="text1"/>
        </w:rPr>
        <w:t xml:space="preserve"> provide Janitorial support to all Highland schools includi</w:t>
      </w:r>
      <w:r w:rsidR="00BA344A">
        <w:rPr>
          <w:color w:val="000000" w:themeColor="text1"/>
        </w:rPr>
        <w:t>ng 42 currently with no cover and</w:t>
      </w:r>
      <w:r w:rsidR="002C3A0E" w:rsidRPr="00BA344A">
        <w:rPr>
          <w:color w:val="000000" w:themeColor="text1"/>
        </w:rPr>
        <w:t xml:space="preserve"> a further 70</w:t>
      </w:r>
      <w:r w:rsidR="00AD2837" w:rsidRPr="00BA344A">
        <w:rPr>
          <w:color w:val="000000" w:themeColor="text1"/>
        </w:rPr>
        <w:t xml:space="preserve"> or so</w:t>
      </w:r>
      <w:r w:rsidR="002C3A0E" w:rsidRPr="00BA344A">
        <w:rPr>
          <w:color w:val="000000" w:themeColor="text1"/>
        </w:rPr>
        <w:t xml:space="preserve"> with peripatetic Janitorial support. Therefore the reduction in costs reduce</w:t>
      </w:r>
      <w:r w:rsidR="00AD2837" w:rsidRPr="00BA344A">
        <w:rPr>
          <w:color w:val="000000" w:themeColor="text1"/>
        </w:rPr>
        <w:t>s the need for additional expenditure</w:t>
      </w:r>
      <w:r w:rsidR="002C3A0E" w:rsidRPr="00BA344A">
        <w:rPr>
          <w:color w:val="000000" w:themeColor="text1"/>
        </w:rPr>
        <w:t xml:space="preserve"> elsewhere to deliver a service commitment to all </w:t>
      </w:r>
      <w:r w:rsidR="00BA344A">
        <w:t>schools agreed by the Council rather than a direct cashable saving.</w:t>
      </w:r>
      <w:r w:rsidR="00AD2837">
        <w:t xml:space="preserve"> </w:t>
      </w:r>
      <w:r w:rsidR="00684057">
        <w:t>Similarly, t</w:t>
      </w:r>
      <w:r w:rsidR="00855E26">
        <w:t>he</w:t>
      </w:r>
      <w:r w:rsidR="00C52FE7">
        <w:t xml:space="preserve"> </w:t>
      </w:r>
      <w:r w:rsidR="00855E26">
        <w:t>reduction</w:t>
      </w:r>
      <w:r w:rsidR="00C52FE7">
        <w:t xml:space="preserve"> in school admin </w:t>
      </w:r>
      <w:r w:rsidR="00855E26">
        <w:t>and</w:t>
      </w:r>
      <w:r w:rsidR="000634C1">
        <w:t xml:space="preserve"> HT time required to </w:t>
      </w:r>
      <w:r w:rsidR="00855E26">
        <w:t>administer</w:t>
      </w:r>
      <w:r w:rsidR="00BA344A">
        <w:t xml:space="preserve"> and approve</w:t>
      </w:r>
      <w:r w:rsidR="00855E26">
        <w:t xml:space="preserve"> lets</w:t>
      </w:r>
      <w:r w:rsidR="005B6978">
        <w:t xml:space="preserve"> </w:t>
      </w:r>
      <w:r w:rsidR="00855E26">
        <w:t>will rele</w:t>
      </w:r>
      <w:r w:rsidR="000634C1">
        <w:t>ase resources that can be put</w:t>
      </w:r>
      <w:r w:rsidR="00C52FE7">
        <w:t xml:space="preserve"> to more effective use</w:t>
      </w:r>
      <w:r w:rsidR="000634C1">
        <w:t xml:space="preserve"> supporting the management of teac</w:t>
      </w:r>
      <w:r w:rsidR="00684057">
        <w:t>hing and learning in the school</w:t>
      </w:r>
      <w:r w:rsidR="00D92717">
        <w:t xml:space="preserve"> (Management of Schools)</w:t>
      </w:r>
      <w:r w:rsidR="00BA344A">
        <w:t>, but no direct cashable saving.</w:t>
      </w:r>
    </w:p>
    <w:p w:rsidR="006907AF" w:rsidRDefault="006907AF" w:rsidP="006907AF"/>
    <w:p w:rsidR="007C7A57" w:rsidRPr="00B80155" w:rsidRDefault="006907AF" w:rsidP="002C7401">
      <w:pPr>
        <w:rPr>
          <w:i/>
          <w:u w:val="single"/>
        </w:rPr>
      </w:pPr>
      <w:r w:rsidRPr="00B80155">
        <w:rPr>
          <w:i/>
          <w:u w:val="single"/>
        </w:rPr>
        <w:t>Therefore all efforts to meet agreed savings must come from increasing income.</w:t>
      </w:r>
    </w:p>
    <w:p w:rsidR="006907AF" w:rsidRDefault="006907AF" w:rsidP="002C7401"/>
    <w:p w:rsidR="00ED16CD" w:rsidRPr="006907AF" w:rsidRDefault="000F0653" w:rsidP="002C7401">
      <w:pPr>
        <w:rPr>
          <w:b/>
        </w:rPr>
      </w:pPr>
      <w:r>
        <w:rPr>
          <w:b/>
        </w:rPr>
        <w:t>3</w:t>
      </w:r>
      <w:r>
        <w:rPr>
          <w:b/>
        </w:rPr>
        <w:tab/>
      </w:r>
      <w:r w:rsidR="00ED16CD" w:rsidRPr="006907AF">
        <w:rPr>
          <w:b/>
        </w:rPr>
        <w:t xml:space="preserve">Strategic Approach </w:t>
      </w:r>
      <w:r>
        <w:rPr>
          <w:b/>
        </w:rPr>
        <w:t>to Income</w:t>
      </w:r>
    </w:p>
    <w:p w:rsidR="00ED16CD" w:rsidRDefault="00ED16CD" w:rsidP="002C7401"/>
    <w:p w:rsidR="0072334B" w:rsidRDefault="0072334B" w:rsidP="002C7401">
      <w:r>
        <w:t xml:space="preserve">It is important </w:t>
      </w:r>
      <w:r w:rsidR="000F0653">
        <w:t>that the Council defines and sets out its</w:t>
      </w:r>
      <w:r>
        <w:t xml:space="preserve"> commercial strategy to inform the future direction for commercial activities such as lets in Council buildings. There are a number of approaches that can be taken: </w:t>
      </w:r>
    </w:p>
    <w:p w:rsidR="0072334B" w:rsidRDefault="0072334B" w:rsidP="000F0653">
      <w:pPr>
        <w:pStyle w:val="ListParagraph"/>
        <w:numPr>
          <w:ilvl w:val="0"/>
          <w:numId w:val="32"/>
        </w:numPr>
      </w:pPr>
      <w:r>
        <w:t>Provision of a subsidised service that supports community activity by making facilities available at minimal cost</w:t>
      </w:r>
    </w:p>
    <w:p w:rsidR="0072334B" w:rsidRDefault="0072334B" w:rsidP="000F0653">
      <w:pPr>
        <w:pStyle w:val="ListParagraph"/>
        <w:numPr>
          <w:ilvl w:val="0"/>
          <w:numId w:val="32"/>
        </w:numPr>
      </w:pPr>
      <w:r>
        <w:t>A cost based approach to pricing where the Council aims to cover its costs and generate surplus for investment in the service and facilities</w:t>
      </w:r>
    </w:p>
    <w:p w:rsidR="00ED16CD" w:rsidRDefault="0072334B" w:rsidP="000F0653">
      <w:pPr>
        <w:pStyle w:val="ListParagraph"/>
        <w:numPr>
          <w:ilvl w:val="0"/>
          <w:numId w:val="32"/>
        </w:numPr>
      </w:pPr>
      <w:r>
        <w:t>A competition based approach that benchmarks prices against the competition</w:t>
      </w:r>
    </w:p>
    <w:p w:rsidR="00C116FC" w:rsidRDefault="00A35E1B" w:rsidP="000F0653">
      <w:pPr>
        <w:pStyle w:val="ListParagraph"/>
        <w:numPr>
          <w:ilvl w:val="0"/>
          <w:numId w:val="32"/>
        </w:numPr>
      </w:pPr>
      <w:r>
        <w:t>A profit maximisation approach that charges the maximum the market will bear and only opens profitable facilities</w:t>
      </w:r>
    </w:p>
    <w:p w:rsidR="00C116FC" w:rsidRDefault="0072334B" w:rsidP="00A35E1B">
      <w:pPr>
        <w:pStyle w:val="ListParagraph"/>
        <w:numPr>
          <w:ilvl w:val="0"/>
          <w:numId w:val="32"/>
        </w:numPr>
      </w:pPr>
      <w:r>
        <w:t>A demand base</w:t>
      </w:r>
      <w:r w:rsidR="00A35E1B">
        <w:t>d</w:t>
      </w:r>
      <w:r>
        <w:t xml:space="preserve"> </w:t>
      </w:r>
      <w:r w:rsidR="00A35E1B">
        <w:t>approach that uses dynamic or dif</w:t>
      </w:r>
      <w:r>
        <w:t>ferential pricing to maximise income from high demand facilities</w:t>
      </w:r>
      <w:r w:rsidR="00C116FC">
        <w:t>.</w:t>
      </w:r>
    </w:p>
    <w:p w:rsidR="000F0653" w:rsidRDefault="000F0653" w:rsidP="002C7401"/>
    <w:p w:rsidR="0072334B" w:rsidRDefault="000F0653" w:rsidP="002C7401">
      <w:r>
        <w:t>Th</w:t>
      </w:r>
      <w:r w:rsidR="0072334B">
        <w:t xml:space="preserve">e </w:t>
      </w:r>
      <w:r>
        <w:t>approach proposed for l</w:t>
      </w:r>
      <w:r w:rsidR="00A35E1B">
        <w:t>ets would be</w:t>
      </w:r>
      <w:r>
        <w:t xml:space="preserve"> a mix of b) and c) although in time as the lets service develops demand based pricing may</w:t>
      </w:r>
      <w:r w:rsidR="00D92717">
        <w:t xml:space="preserve"> also</w:t>
      </w:r>
      <w:r>
        <w:t xml:space="preserve"> have a role.</w:t>
      </w:r>
    </w:p>
    <w:p w:rsidR="00ED16CD" w:rsidRDefault="00ED16CD" w:rsidP="002C7401"/>
    <w:p w:rsidR="004F2398" w:rsidRPr="004F2398" w:rsidRDefault="00EF4212" w:rsidP="004F2398">
      <w:pPr>
        <w:rPr>
          <w:b/>
        </w:rPr>
      </w:pPr>
      <w:r>
        <w:rPr>
          <w:b/>
        </w:rPr>
        <w:t>4</w:t>
      </w:r>
      <w:r w:rsidR="00340CB7" w:rsidRPr="004F2398">
        <w:rPr>
          <w:b/>
        </w:rPr>
        <w:tab/>
      </w:r>
      <w:r w:rsidR="00B47944">
        <w:rPr>
          <w:b/>
        </w:rPr>
        <w:t>Effective</w:t>
      </w:r>
      <w:r>
        <w:rPr>
          <w:b/>
        </w:rPr>
        <w:t xml:space="preserve"> and </w:t>
      </w:r>
      <w:r w:rsidR="0049232B">
        <w:rPr>
          <w:b/>
        </w:rPr>
        <w:t>Efficient</w:t>
      </w:r>
      <w:r w:rsidR="00B47944">
        <w:rPr>
          <w:b/>
        </w:rPr>
        <w:t xml:space="preserve"> C</w:t>
      </w:r>
      <w:r w:rsidR="004F2398" w:rsidRPr="004F2398">
        <w:rPr>
          <w:b/>
        </w:rPr>
        <w:t>harging</w:t>
      </w:r>
    </w:p>
    <w:p w:rsidR="00EF4212" w:rsidRDefault="00EF4212" w:rsidP="004F2398"/>
    <w:p w:rsidR="00EF4212" w:rsidRPr="00EF4212" w:rsidRDefault="000F0653" w:rsidP="004F2398">
      <w:pPr>
        <w:rPr>
          <w:b/>
        </w:rPr>
      </w:pPr>
      <w:r>
        <w:rPr>
          <w:b/>
        </w:rPr>
        <w:t>4.1</w:t>
      </w:r>
      <w:r>
        <w:rPr>
          <w:b/>
        </w:rPr>
        <w:tab/>
      </w:r>
      <w:r w:rsidR="00D92717">
        <w:rPr>
          <w:b/>
        </w:rPr>
        <w:t>Central Booking F</w:t>
      </w:r>
      <w:r w:rsidR="00EF4212" w:rsidRPr="00EF4212">
        <w:rPr>
          <w:b/>
        </w:rPr>
        <w:t>unction</w:t>
      </w:r>
    </w:p>
    <w:p w:rsidR="00EF4212" w:rsidRDefault="00EF4212" w:rsidP="004F2398"/>
    <w:p w:rsidR="005F2040" w:rsidRDefault="00FF3A2F" w:rsidP="00B44DD1">
      <w:r>
        <w:t>Effective</w:t>
      </w:r>
      <w:r w:rsidR="000F0653">
        <w:t xml:space="preserve"> charging will be</w:t>
      </w:r>
      <w:r w:rsidR="004C1CAB">
        <w:t xml:space="preserve"> supported by the establishment of a central booking function </w:t>
      </w:r>
      <w:r w:rsidR="008F35FE">
        <w:t>(</w:t>
      </w:r>
      <w:r w:rsidR="004C1CAB">
        <w:t>in PFM</w:t>
      </w:r>
      <w:r w:rsidR="008F35FE">
        <w:t>)</w:t>
      </w:r>
      <w:r w:rsidR="004C1CAB">
        <w:t xml:space="preserve"> to ensure consistent and transparent chargi</w:t>
      </w:r>
      <w:r w:rsidR="008F35FE">
        <w:t xml:space="preserve">ng. There is some evidence </w:t>
      </w:r>
      <w:r w:rsidR="004C1CAB">
        <w:t xml:space="preserve">that charging is inconsistently applied by different schools, partly </w:t>
      </w:r>
      <w:r>
        <w:t>through</w:t>
      </w:r>
      <w:r w:rsidR="004C1CAB">
        <w:t xml:space="preserve"> a lack of </w:t>
      </w:r>
      <w:r>
        <w:t>clarity</w:t>
      </w:r>
      <w:r w:rsidR="004C1CAB">
        <w:t xml:space="preserve"> as to whi</w:t>
      </w:r>
      <w:r>
        <w:t>ch organisations and events are eligible for</w:t>
      </w:r>
      <w:r w:rsidR="004C1CAB">
        <w:t xml:space="preserve"> free lets</w:t>
      </w:r>
      <w:r>
        <w:t xml:space="preserve"> and for community rates</w:t>
      </w:r>
      <w:r w:rsidR="004C1CAB">
        <w:t xml:space="preserve">.  The </w:t>
      </w:r>
      <w:r>
        <w:t>classification of lets need</w:t>
      </w:r>
      <w:r w:rsidR="004C1CAB">
        <w:t xml:space="preserve"> to be made clearer, </w:t>
      </w:r>
      <w:r>
        <w:t>and</w:t>
      </w:r>
      <w:r w:rsidR="004C1CAB">
        <w:t xml:space="preserve"> this will be </w:t>
      </w:r>
      <w:r w:rsidR="002A2714">
        <w:t>effectively supported</w:t>
      </w:r>
      <w:r w:rsidR="004C1CAB">
        <w:t xml:space="preserve"> by a cent</w:t>
      </w:r>
      <w:r>
        <w:t>r</w:t>
      </w:r>
      <w:r w:rsidR="004C1CAB">
        <w:t>a</w:t>
      </w:r>
      <w:r>
        <w:t>l</w:t>
      </w:r>
      <w:r w:rsidR="004C1CAB">
        <w:t xml:space="preserve"> </w:t>
      </w:r>
      <w:r>
        <w:t>func</w:t>
      </w:r>
      <w:r w:rsidR="004C1CAB">
        <w:t>tion wh</w:t>
      </w:r>
      <w:r>
        <w:t xml:space="preserve">ich can develop a </w:t>
      </w:r>
      <w:r w:rsidR="008F35FE">
        <w:t>“</w:t>
      </w:r>
      <w:r>
        <w:t>case his</w:t>
      </w:r>
      <w:r w:rsidR="004C1CAB">
        <w:t>tory</w:t>
      </w:r>
      <w:r w:rsidR="008F35FE">
        <w:t>”</w:t>
      </w:r>
      <w:r w:rsidR="004C1CAB">
        <w:t xml:space="preserve"> of decisions.</w:t>
      </w:r>
    </w:p>
    <w:p w:rsidR="00EF4212" w:rsidRPr="00614D9C" w:rsidRDefault="000C26ED" w:rsidP="00EF4212">
      <w:pPr>
        <w:pStyle w:val="Heading2"/>
      </w:pPr>
      <w:r>
        <w:lastRenderedPageBreak/>
        <w:t>4</w:t>
      </w:r>
      <w:r w:rsidR="00D92717">
        <w:t>.2</w:t>
      </w:r>
      <w:r w:rsidR="00EF4212">
        <w:tab/>
        <w:t xml:space="preserve">Revise </w:t>
      </w:r>
      <w:r w:rsidR="00EF4212" w:rsidRPr="00614D9C">
        <w:t>Pricing</w:t>
      </w:r>
      <w:r w:rsidR="00EF4212">
        <w:t xml:space="preserve"> Schedule</w:t>
      </w:r>
    </w:p>
    <w:p w:rsidR="00EF4212" w:rsidRDefault="00EF4212" w:rsidP="00EF4212"/>
    <w:p w:rsidR="00EF4212" w:rsidRDefault="00EF4212" w:rsidP="00EF4212">
      <w:r>
        <w:t>The project has considered a range of sources/ approaches to</w:t>
      </w:r>
      <w:r w:rsidR="000F0653">
        <w:t xml:space="preserve"> revising the pricing structure:</w:t>
      </w:r>
    </w:p>
    <w:p w:rsidR="000F0653" w:rsidRDefault="000F0653" w:rsidP="00EF4212"/>
    <w:p w:rsidR="00EF4212" w:rsidRPr="00F677CE" w:rsidRDefault="00EF4212" w:rsidP="00EF4212">
      <w:pPr>
        <w:rPr>
          <w:u w:val="single"/>
        </w:rPr>
      </w:pPr>
      <w:r>
        <w:rPr>
          <w:u w:val="single"/>
        </w:rPr>
        <w:t>Other Local Authorities</w:t>
      </w:r>
    </w:p>
    <w:p w:rsidR="00EF4212" w:rsidRDefault="00EF4212" w:rsidP="00EF4212">
      <w:r>
        <w:t>Analysis shows current Highland prices are broadly in line with the average Scottish Local Authority prices for sports facilities (sportscotland research),</w:t>
      </w:r>
      <w:r w:rsidR="000F0653">
        <w:t xml:space="preserve"> </w:t>
      </w:r>
      <w:r>
        <w:t>although Highland charges for all weather pitches and for changing and floodlighting are significantly lower than the Scottish average. With regards to meeting rooms, HC rates for community users are significantly less than other Highland providers, both hotels and community centres/halls and other LAs (project research). This is principally because</w:t>
      </w:r>
      <w:r w:rsidR="000C26ED">
        <w:t xml:space="preserve"> the HC Band A (community) rate</w:t>
      </w:r>
      <w:r>
        <w:t xml:space="preserve"> (£10.35) is for up to 3 hours whereas other providers charge similar amounts per hour. For Band B (semi-commercial) HC charges an hourly rate of £20.90 which is comparable with commercial providers. </w:t>
      </w:r>
    </w:p>
    <w:p w:rsidR="00EF4212" w:rsidRDefault="00EF4212" w:rsidP="00EF4212"/>
    <w:p w:rsidR="00EF4212" w:rsidRPr="004F2398" w:rsidRDefault="00EF4212" w:rsidP="00EF4212">
      <w:pPr>
        <w:rPr>
          <w:u w:val="single"/>
        </w:rPr>
      </w:pPr>
      <w:r w:rsidRPr="004F2398">
        <w:rPr>
          <w:u w:val="single"/>
        </w:rPr>
        <w:t xml:space="preserve">High Life Highland </w:t>
      </w:r>
    </w:p>
    <w:p w:rsidR="00EF4212" w:rsidRDefault="00EF4212" w:rsidP="00EF4212">
      <w:r>
        <w:t xml:space="preserve">Like HC rates, High Life Highland lets charges are based on 2009 Council policy, </w:t>
      </w:r>
      <w:r w:rsidR="00800EB7">
        <w:t>although it introduced some changes that simplify the price structure including for example, an hourly rate for meeting rooms (not “up to 3 hr” rate), pro rata charges</w:t>
      </w:r>
      <w:r w:rsidR="003F3D05">
        <w:t xml:space="preserve"> for all weather pitches, and no</w:t>
      </w:r>
      <w:r w:rsidR="00800EB7">
        <w:t xml:space="preserve"> 25% surcharge for weekend use. S</w:t>
      </w:r>
      <w:r>
        <w:t>ince its formation in 2011, High Life Highland has consistently applied 5% increases in the intervening period, whereas the Council has not, leading to a small divergence in pricing. There is a strong case for HC and HLH charging the same prices for the use of the same facilities, in line with the original aims of the</w:t>
      </w:r>
      <w:r w:rsidR="00800EB7">
        <w:t xml:space="preserve"> 2009</w:t>
      </w:r>
      <w:r>
        <w:t xml:space="preserve"> policy.</w:t>
      </w:r>
    </w:p>
    <w:p w:rsidR="00EF4212" w:rsidRDefault="00EF4212" w:rsidP="00EF4212"/>
    <w:p w:rsidR="00EF4212" w:rsidRPr="004F2398" w:rsidRDefault="00EF4212" w:rsidP="00EF4212">
      <w:pPr>
        <w:rPr>
          <w:u w:val="single"/>
        </w:rPr>
      </w:pPr>
      <w:r w:rsidRPr="004F2398">
        <w:rPr>
          <w:u w:val="single"/>
        </w:rPr>
        <w:t>Costs</w:t>
      </w:r>
    </w:p>
    <w:p w:rsidR="00EF4212" w:rsidRDefault="00EF4212" w:rsidP="00EF4212">
      <w:r>
        <w:t>Covering costs is another approach on which to base prices and to achieve a project obj</w:t>
      </w:r>
      <w:r w:rsidR="000C26ED">
        <w:t xml:space="preserve">ective. However, as outlined in </w:t>
      </w:r>
      <w:r w:rsidRPr="000C26ED">
        <w:rPr>
          <w:color w:val="000000" w:themeColor="text1"/>
        </w:rPr>
        <w:t xml:space="preserve">above, </w:t>
      </w:r>
      <w:r>
        <w:t xml:space="preserve">it is not easy to determine the whole cost of lets incurred by the Council and this is reflected in the disparity between costs and income budgets. </w:t>
      </w:r>
    </w:p>
    <w:p w:rsidR="00D92717" w:rsidRDefault="00D92717" w:rsidP="00D92717">
      <w:pPr>
        <w:rPr>
          <w:b/>
        </w:rPr>
      </w:pPr>
    </w:p>
    <w:p w:rsidR="00D92717" w:rsidRPr="00D92717" w:rsidRDefault="00D92717" w:rsidP="00D92717">
      <w:r>
        <w:rPr>
          <w:b/>
        </w:rPr>
        <w:t>4.3</w:t>
      </w:r>
      <w:r>
        <w:rPr>
          <w:b/>
        </w:rPr>
        <w:tab/>
        <w:t>Well Defined Facilities</w:t>
      </w:r>
    </w:p>
    <w:p w:rsidR="00D92717" w:rsidRDefault="00D92717" w:rsidP="00D92717"/>
    <w:p w:rsidR="005F2040" w:rsidRPr="00B44DD1" w:rsidRDefault="00D92717" w:rsidP="00EF4212">
      <w:r>
        <w:t>There needs to be clarity about some of the facilities – for example it is not always clear what is a MUGA (Multi Use Games Area) and what is an all-weather pitch. HLH has resolved this by establishing a standard charge for all weather pitches and charging pro rata for half or third of a pitch (e.g. 5 aside plays across a third full sized pitch). It is proposed that HC replace the MUGA rate with a pro rata all weather pitch rate. The</w:t>
      </w:r>
      <w:r w:rsidRPr="00BF235D">
        <w:t xml:space="preserve"> Council </w:t>
      </w:r>
      <w:r>
        <w:t>n</w:t>
      </w:r>
      <w:r w:rsidRPr="00BF235D">
        <w:t>eed</w:t>
      </w:r>
      <w:r>
        <w:t xml:space="preserve">s to be more consistent </w:t>
      </w:r>
      <w:r w:rsidRPr="00BF235D">
        <w:t>and diligent in charging for cha</w:t>
      </w:r>
      <w:r>
        <w:t xml:space="preserve">nging </w:t>
      </w:r>
      <w:r w:rsidRPr="00BF235D">
        <w:t>a</w:t>
      </w:r>
      <w:r>
        <w:t>n</w:t>
      </w:r>
      <w:r w:rsidRPr="00BF235D">
        <w:t xml:space="preserve">d </w:t>
      </w:r>
      <w:r>
        <w:t>flood</w:t>
      </w:r>
      <w:r w:rsidRPr="00BF235D">
        <w:t>lighting as</w:t>
      </w:r>
      <w:r>
        <w:t xml:space="preserve"> </w:t>
      </w:r>
      <w:r w:rsidRPr="00BF235D">
        <w:t>there wer</w:t>
      </w:r>
      <w:r>
        <w:t>e practically no charges for eith</w:t>
      </w:r>
      <w:r w:rsidRPr="00BF235D">
        <w:t>er</w:t>
      </w:r>
      <w:r>
        <w:t xml:space="preserve"> in 2016/17 despite both being </w:t>
      </w:r>
      <w:r w:rsidRPr="00BF235D">
        <w:t>u</w:t>
      </w:r>
      <w:r>
        <w:t>s</w:t>
      </w:r>
      <w:r w:rsidRPr="00BF235D">
        <w:t>ed regular</w:t>
      </w:r>
      <w:r>
        <w:t>ly in the locations that make them available</w:t>
      </w:r>
      <w:r w:rsidRPr="00BF235D">
        <w:t xml:space="preserve">. </w:t>
      </w:r>
      <w:r>
        <w:t xml:space="preserve">Effective charging will be supported by a comprehensive database of the facilities available at each school, to assist with charging decisions. </w:t>
      </w:r>
    </w:p>
    <w:p w:rsidR="00EF4212" w:rsidRPr="00D92717" w:rsidRDefault="000C26ED" w:rsidP="00EF4212">
      <w:r>
        <w:rPr>
          <w:b/>
        </w:rPr>
        <w:lastRenderedPageBreak/>
        <w:t>4</w:t>
      </w:r>
      <w:r w:rsidR="00800EB7">
        <w:rPr>
          <w:b/>
        </w:rPr>
        <w:t>.4</w:t>
      </w:r>
      <w:r w:rsidR="001B731E">
        <w:rPr>
          <w:b/>
        </w:rPr>
        <w:t xml:space="preserve"> </w:t>
      </w:r>
      <w:r w:rsidR="001B731E">
        <w:rPr>
          <w:b/>
        </w:rPr>
        <w:tab/>
        <w:t xml:space="preserve">Exclusive </w:t>
      </w:r>
      <w:r w:rsidR="00EF4212">
        <w:rPr>
          <w:b/>
        </w:rPr>
        <w:t>Use and POA rates</w:t>
      </w:r>
    </w:p>
    <w:p w:rsidR="00EF4212" w:rsidRDefault="00EF4212" w:rsidP="00EF4212"/>
    <w:p w:rsidR="00EF4212" w:rsidRDefault="00EF4212" w:rsidP="00EF4212">
      <w:r>
        <w:t>There have been instances where an organisation has either hired a whole school or required exclu</w:t>
      </w:r>
      <w:r w:rsidR="000C26ED">
        <w:t xml:space="preserve">sive use </w:t>
      </w:r>
      <w:r w:rsidR="00D92717">
        <w:t xml:space="preserve">of the school </w:t>
      </w:r>
      <w:r w:rsidR="000C26ED">
        <w:t>for a day/ weekend</w:t>
      </w:r>
      <w:r>
        <w:t xml:space="preserve"> (for example Feisean events) and been charged per hour for each classroom/ facility used resulting in very large bills. Further thought is required on charging levels - one approach may be to have a maximum price per hour / </w:t>
      </w:r>
      <w:r w:rsidR="000C26ED">
        <w:t xml:space="preserve">maximum </w:t>
      </w:r>
      <w:r>
        <w:t xml:space="preserve">daily rate so that events that exceed this are charged at the capped rate. It is important that capped rates do not undermine the pricing logic – so for example it should be more than the hourly rate for the most expensive facility in each band. For whole day rates the level should cover costs plus a margin  - for example at weekends staff costs are approx. £30/hr </w:t>
      </w:r>
    </w:p>
    <w:p w:rsidR="00EF4212" w:rsidRDefault="00EF4212" w:rsidP="00EF4212"/>
    <w:p w:rsidR="00EF4212" w:rsidRDefault="00EF4212" w:rsidP="00EF4212">
      <w:r>
        <w:t>Given this suggested maximum charges could be set at:</w:t>
      </w:r>
    </w:p>
    <w:tbl>
      <w:tblPr>
        <w:tblStyle w:val="TableGrid"/>
        <w:tblW w:w="0" w:type="auto"/>
        <w:tblLook w:val="04A0" w:firstRow="1" w:lastRow="0" w:firstColumn="1" w:lastColumn="0" w:noHBand="0" w:noVBand="1"/>
      </w:tblPr>
      <w:tblGrid>
        <w:gridCol w:w="3080"/>
        <w:gridCol w:w="1168"/>
        <w:gridCol w:w="1260"/>
      </w:tblGrid>
      <w:tr w:rsidR="00EF4212" w:rsidRPr="005F2040" w:rsidTr="009A23B2">
        <w:tc>
          <w:tcPr>
            <w:tcW w:w="3080" w:type="dxa"/>
          </w:tcPr>
          <w:p w:rsidR="00EF4212" w:rsidRPr="005F2040" w:rsidRDefault="00EF4212" w:rsidP="005F2040">
            <w:pPr>
              <w:spacing w:line="276" w:lineRule="auto"/>
              <w:rPr>
                <w:b/>
                <w:sz w:val="20"/>
              </w:rPr>
            </w:pPr>
          </w:p>
        </w:tc>
        <w:tc>
          <w:tcPr>
            <w:tcW w:w="1168" w:type="dxa"/>
          </w:tcPr>
          <w:p w:rsidR="00EF4212" w:rsidRPr="005F2040" w:rsidRDefault="00EF4212" w:rsidP="005F2040">
            <w:pPr>
              <w:spacing w:line="276" w:lineRule="auto"/>
              <w:rPr>
                <w:b/>
                <w:sz w:val="20"/>
              </w:rPr>
            </w:pPr>
            <w:r w:rsidRPr="005F2040">
              <w:rPr>
                <w:b/>
                <w:sz w:val="20"/>
              </w:rPr>
              <w:t>Band A</w:t>
            </w:r>
          </w:p>
        </w:tc>
        <w:tc>
          <w:tcPr>
            <w:tcW w:w="1260" w:type="dxa"/>
          </w:tcPr>
          <w:p w:rsidR="00EF4212" w:rsidRPr="005F2040" w:rsidRDefault="00EF4212" w:rsidP="005F2040">
            <w:pPr>
              <w:spacing w:line="276" w:lineRule="auto"/>
              <w:rPr>
                <w:b/>
                <w:sz w:val="20"/>
              </w:rPr>
            </w:pPr>
            <w:r w:rsidRPr="005F2040">
              <w:rPr>
                <w:b/>
                <w:sz w:val="20"/>
              </w:rPr>
              <w:t>Band B</w:t>
            </w:r>
          </w:p>
        </w:tc>
      </w:tr>
      <w:tr w:rsidR="00EF4212" w:rsidRPr="00CF3242" w:rsidTr="009A23B2">
        <w:tc>
          <w:tcPr>
            <w:tcW w:w="3080" w:type="dxa"/>
          </w:tcPr>
          <w:p w:rsidR="00EF4212" w:rsidRPr="00CF3242" w:rsidRDefault="00EF4212" w:rsidP="005F2040">
            <w:pPr>
              <w:spacing w:line="276" w:lineRule="auto"/>
              <w:rPr>
                <w:sz w:val="20"/>
              </w:rPr>
            </w:pPr>
            <w:r w:rsidRPr="00CF3242">
              <w:rPr>
                <w:sz w:val="20"/>
              </w:rPr>
              <w:t>Max hourly rate</w:t>
            </w:r>
          </w:p>
        </w:tc>
        <w:tc>
          <w:tcPr>
            <w:tcW w:w="1168" w:type="dxa"/>
          </w:tcPr>
          <w:p w:rsidR="00EF4212" w:rsidRPr="00CF3242" w:rsidRDefault="00EF4212" w:rsidP="005F2040">
            <w:pPr>
              <w:spacing w:line="276" w:lineRule="auto"/>
              <w:rPr>
                <w:sz w:val="20"/>
              </w:rPr>
            </w:pPr>
            <w:r w:rsidRPr="00CF3242">
              <w:rPr>
                <w:sz w:val="20"/>
              </w:rPr>
              <w:t>£75/h</w:t>
            </w:r>
          </w:p>
        </w:tc>
        <w:tc>
          <w:tcPr>
            <w:tcW w:w="1260" w:type="dxa"/>
          </w:tcPr>
          <w:p w:rsidR="00EF4212" w:rsidRPr="00CF3242" w:rsidRDefault="00EF4212" w:rsidP="005F2040">
            <w:pPr>
              <w:spacing w:line="276" w:lineRule="auto"/>
              <w:rPr>
                <w:sz w:val="20"/>
              </w:rPr>
            </w:pPr>
            <w:r w:rsidRPr="00CF3242">
              <w:rPr>
                <w:sz w:val="20"/>
              </w:rPr>
              <w:t>£125/h</w:t>
            </w:r>
          </w:p>
        </w:tc>
      </w:tr>
      <w:tr w:rsidR="00EF4212" w:rsidRPr="00CF3242" w:rsidTr="009A23B2">
        <w:tc>
          <w:tcPr>
            <w:tcW w:w="3080" w:type="dxa"/>
          </w:tcPr>
          <w:p w:rsidR="00EF4212" w:rsidRPr="00CF3242" w:rsidRDefault="00EF4212" w:rsidP="005F2040">
            <w:pPr>
              <w:spacing w:line="276" w:lineRule="auto"/>
              <w:rPr>
                <w:sz w:val="20"/>
              </w:rPr>
            </w:pPr>
            <w:r w:rsidRPr="00CF3242">
              <w:rPr>
                <w:sz w:val="20"/>
              </w:rPr>
              <w:t>Whole day rate</w:t>
            </w:r>
          </w:p>
        </w:tc>
        <w:tc>
          <w:tcPr>
            <w:tcW w:w="1168" w:type="dxa"/>
          </w:tcPr>
          <w:p w:rsidR="00EF4212" w:rsidRPr="00CF3242" w:rsidRDefault="00EF4212" w:rsidP="005F2040">
            <w:pPr>
              <w:spacing w:line="276" w:lineRule="auto"/>
              <w:rPr>
                <w:sz w:val="20"/>
              </w:rPr>
            </w:pPr>
            <w:r w:rsidRPr="00CF3242">
              <w:rPr>
                <w:sz w:val="20"/>
              </w:rPr>
              <w:t>£300/day</w:t>
            </w:r>
          </w:p>
        </w:tc>
        <w:tc>
          <w:tcPr>
            <w:tcW w:w="1260" w:type="dxa"/>
          </w:tcPr>
          <w:p w:rsidR="00EF4212" w:rsidRPr="00CF3242" w:rsidRDefault="00EF4212" w:rsidP="005F2040">
            <w:pPr>
              <w:spacing w:line="276" w:lineRule="auto"/>
              <w:rPr>
                <w:sz w:val="20"/>
              </w:rPr>
            </w:pPr>
            <w:r w:rsidRPr="00CF3242">
              <w:rPr>
                <w:sz w:val="20"/>
              </w:rPr>
              <w:t>£500/day</w:t>
            </w:r>
          </w:p>
        </w:tc>
      </w:tr>
    </w:tbl>
    <w:p w:rsidR="00EF4212" w:rsidRDefault="00EF4212" w:rsidP="00EF4212"/>
    <w:p w:rsidR="00EF4212" w:rsidRPr="00FB4466" w:rsidRDefault="00EF4212" w:rsidP="00EF4212">
      <w:r>
        <w:t xml:space="preserve">Another way to deal with whole school lets, particularly for commercial events is to negotiate a price on application (POA). This would particularly apply where there are high charging or one-off events (such as concerts) or where high charges are the norm, for example for commercial filming or providing a base for filming. Guidance and criteria would need to be developed. </w:t>
      </w:r>
    </w:p>
    <w:p w:rsidR="004F2398" w:rsidRDefault="004F2398" w:rsidP="004F2398"/>
    <w:p w:rsidR="000C26ED" w:rsidRPr="000C26ED" w:rsidRDefault="00800EB7" w:rsidP="004F2398">
      <w:pPr>
        <w:rPr>
          <w:b/>
        </w:rPr>
      </w:pPr>
      <w:r>
        <w:rPr>
          <w:b/>
        </w:rPr>
        <w:t>4.5</w:t>
      </w:r>
      <w:r w:rsidR="000C26ED" w:rsidRPr="000C26ED">
        <w:rPr>
          <w:b/>
        </w:rPr>
        <w:tab/>
        <w:t>Summary of Proposals to Support Effective Charging</w:t>
      </w:r>
      <w:r w:rsidR="000C26ED" w:rsidRPr="000C26ED">
        <w:rPr>
          <w:b/>
        </w:rPr>
        <w:tab/>
      </w:r>
    </w:p>
    <w:p w:rsidR="000C26ED" w:rsidRDefault="000C26ED" w:rsidP="004F2398"/>
    <w:p w:rsidR="000C26ED" w:rsidRDefault="000C26ED" w:rsidP="000C26ED">
      <w:pPr>
        <w:pStyle w:val="ListParagraph"/>
        <w:numPr>
          <w:ilvl w:val="0"/>
          <w:numId w:val="4"/>
        </w:numPr>
      </w:pPr>
      <w:r>
        <w:t>Create central booking function</w:t>
      </w:r>
    </w:p>
    <w:p w:rsidR="000C26ED" w:rsidRDefault="000C26ED" w:rsidP="000C26ED">
      <w:pPr>
        <w:pStyle w:val="ListParagraph"/>
        <w:numPr>
          <w:ilvl w:val="0"/>
          <w:numId w:val="4"/>
        </w:numPr>
      </w:pPr>
      <w:r>
        <w:t xml:space="preserve">Increase and consistently apply charges for changing and floodlighting </w:t>
      </w:r>
    </w:p>
    <w:p w:rsidR="000C26ED" w:rsidRDefault="000C26ED" w:rsidP="000C26ED">
      <w:pPr>
        <w:pStyle w:val="ListParagraph"/>
        <w:numPr>
          <w:ilvl w:val="0"/>
          <w:numId w:val="4"/>
        </w:numPr>
      </w:pPr>
      <w:r>
        <w:t xml:space="preserve">Replace MUGA with </w:t>
      </w:r>
      <w:r w:rsidR="00C116FC">
        <w:t>pro rata all weather pitch rate</w:t>
      </w:r>
    </w:p>
    <w:p w:rsidR="000C26ED" w:rsidRDefault="000C26ED" w:rsidP="000C26ED">
      <w:pPr>
        <w:pStyle w:val="ListParagraph"/>
        <w:numPr>
          <w:ilvl w:val="0"/>
          <w:numId w:val="4"/>
        </w:numPr>
      </w:pPr>
      <w:r>
        <w:t>Consider increasing all weather pitch prices to be comparable with Scottish average</w:t>
      </w:r>
    </w:p>
    <w:p w:rsidR="000C26ED" w:rsidRDefault="000C26ED" w:rsidP="000C26ED">
      <w:pPr>
        <w:pStyle w:val="ListParagraph"/>
        <w:numPr>
          <w:ilvl w:val="0"/>
          <w:numId w:val="4"/>
        </w:numPr>
      </w:pPr>
      <w:r>
        <w:t>Change the Band A meeting room from 3</w:t>
      </w:r>
      <w:r w:rsidR="00C116FC">
        <w:t>hr flat rate to a per hour rate</w:t>
      </w:r>
    </w:p>
    <w:p w:rsidR="00800EB7" w:rsidRDefault="00800EB7" w:rsidP="000C26ED">
      <w:pPr>
        <w:pStyle w:val="ListParagraph"/>
        <w:numPr>
          <w:ilvl w:val="0"/>
          <w:numId w:val="4"/>
        </w:numPr>
      </w:pPr>
      <w:r>
        <w:t>Remove weekend surcharge (25%)</w:t>
      </w:r>
    </w:p>
    <w:p w:rsidR="000C26ED" w:rsidRDefault="000C26ED" w:rsidP="000C26ED">
      <w:pPr>
        <w:pStyle w:val="ListParagraph"/>
        <w:numPr>
          <w:ilvl w:val="0"/>
          <w:numId w:val="4"/>
        </w:numPr>
      </w:pPr>
      <w:r>
        <w:t>Clarify eligibility criteria for each band to improve transparency</w:t>
      </w:r>
    </w:p>
    <w:p w:rsidR="000C26ED" w:rsidRDefault="000C26ED" w:rsidP="000C26ED">
      <w:pPr>
        <w:pStyle w:val="ListParagraph"/>
        <w:numPr>
          <w:ilvl w:val="0"/>
          <w:numId w:val="4"/>
        </w:numPr>
      </w:pPr>
      <w:r>
        <w:t>Introduce POA rate for significant events</w:t>
      </w:r>
    </w:p>
    <w:p w:rsidR="000C26ED" w:rsidRDefault="000C26ED" w:rsidP="000C26ED">
      <w:pPr>
        <w:pStyle w:val="ListParagraph"/>
        <w:numPr>
          <w:ilvl w:val="0"/>
          <w:numId w:val="4"/>
        </w:numPr>
      </w:pPr>
      <w:r>
        <w:t xml:space="preserve">Introduce exclusive use rate or cap for large scale/ exclusive use  </w:t>
      </w:r>
    </w:p>
    <w:p w:rsidR="00800EB7" w:rsidRDefault="000C26ED" w:rsidP="000C26ED">
      <w:pPr>
        <w:pStyle w:val="ListParagraph"/>
        <w:numPr>
          <w:ilvl w:val="0"/>
          <w:numId w:val="7"/>
        </w:numPr>
      </w:pPr>
      <w:r>
        <w:t>Develop comprehensive guidance/ criteria to ensure consistency and transparency</w:t>
      </w:r>
    </w:p>
    <w:p w:rsidR="000C26ED" w:rsidRPr="00375E73" w:rsidRDefault="00B80155" w:rsidP="000C26ED">
      <w:pPr>
        <w:pStyle w:val="ListParagraph"/>
        <w:numPr>
          <w:ilvl w:val="0"/>
          <w:numId w:val="7"/>
        </w:numPr>
      </w:pPr>
      <w:r>
        <w:t>Review Terms and Conditions</w:t>
      </w:r>
      <w:r w:rsidR="00C116FC">
        <w:t>.</w:t>
      </w:r>
    </w:p>
    <w:p w:rsidR="00D92717" w:rsidRDefault="00D92717" w:rsidP="004F2398">
      <w:pPr>
        <w:pStyle w:val="Heading2"/>
        <w:rPr>
          <w:b w:val="0"/>
        </w:rPr>
      </w:pPr>
    </w:p>
    <w:p w:rsidR="005F2040" w:rsidRPr="005F2040" w:rsidRDefault="005F2040" w:rsidP="005F2040"/>
    <w:p w:rsidR="00B44DD1" w:rsidRDefault="00B44DD1" w:rsidP="004F2398">
      <w:pPr>
        <w:pStyle w:val="Heading2"/>
      </w:pPr>
    </w:p>
    <w:p w:rsidR="00B44DD1" w:rsidRDefault="00B44DD1" w:rsidP="004F2398">
      <w:pPr>
        <w:pStyle w:val="Heading2"/>
      </w:pPr>
    </w:p>
    <w:p w:rsidR="00B44DD1" w:rsidRDefault="00B44DD1" w:rsidP="004F2398">
      <w:pPr>
        <w:pStyle w:val="Heading2"/>
      </w:pPr>
    </w:p>
    <w:p w:rsidR="004F2398" w:rsidRPr="00BA52B2" w:rsidRDefault="001B731E" w:rsidP="004F2398">
      <w:pPr>
        <w:pStyle w:val="Heading2"/>
      </w:pPr>
      <w:r>
        <w:lastRenderedPageBreak/>
        <w:t>5</w:t>
      </w:r>
      <w:r w:rsidR="004C1CAB">
        <w:tab/>
      </w:r>
      <w:r w:rsidR="004F2398">
        <w:t>Review</w:t>
      </w:r>
      <w:r w:rsidR="004F2398" w:rsidRPr="00BA52B2">
        <w:t xml:space="preserve"> Free Lets</w:t>
      </w:r>
    </w:p>
    <w:p w:rsidR="00813F15" w:rsidRDefault="00813F15" w:rsidP="004F2398"/>
    <w:p w:rsidR="00813F15" w:rsidRPr="00813F15" w:rsidRDefault="008426A9" w:rsidP="004F2398">
      <w:pPr>
        <w:rPr>
          <w:b/>
        </w:rPr>
      </w:pPr>
      <w:r>
        <w:rPr>
          <w:b/>
        </w:rPr>
        <w:t>5.1</w:t>
      </w:r>
      <w:r>
        <w:rPr>
          <w:b/>
        </w:rPr>
        <w:tab/>
        <w:t>Who Gets Free L</w:t>
      </w:r>
      <w:r w:rsidR="00813F15" w:rsidRPr="00813F15">
        <w:rPr>
          <w:b/>
        </w:rPr>
        <w:t>ets?</w:t>
      </w:r>
    </w:p>
    <w:p w:rsidR="00813F15" w:rsidRDefault="00813F15" w:rsidP="004F2398"/>
    <w:p w:rsidR="004F2398" w:rsidRDefault="004F2398" w:rsidP="004F2398">
      <w:r>
        <w:t>Free lets currently make up 50% of lets in all schools representing significant cost and unrealised income.  These free lets fall into several categories - see chart below:</w:t>
      </w:r>
    </w:p>
    <w:p w:rsidR="004F2398" w:rsidRDefault="004F2398" w:rsidP="004F2398"/>
    <w:p w:rsidR="004F2398" w:rsidRDefault="004F2398" w:rsidP="004F2398">
      <w:r>
        <w:rPr>
          <w:noProof/>
          <w:lang w:eastAsia="en-GB"/>
        </w:rPr>
        <w:drawing>
          <wp:inline distT="0" distB="0" distL="0" distR="0" wp14:anchorId="0C5BD3FC" wp14:editId="39E01209">
            <wp:extent cx="5562600" cy="363200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0" cy="3632006"/>
                    </a:xfrm>
                    <a:prstGeom prst="rect">
                      <a:avLst/>
                    </a:prstGeom>
                    <a:noFill/>
                  </pic:spPr>
                </pic:pic>
              </a:graphicData>
            </a:graphic>
          </wp:inline>
        </w:drawing>
      </w:r>
    </w:p>
    <w:p w:rsidR="004F2398" w:rsidRDefault="004F2398" w:rsidP="004F2398"/>
    <w:p w:rsidR="004F2398" w:rsidRDefault="004F2398" w:rsidP="004F2398">
      <w:r>
        <w:t>A report to ECAS</w:t>
      </w:r>
      <w:r w:rsidR="0057370B">
        <w:t xml:space="preserve"> Committee</w:t>
      </w:r>
      <w:r>
        <w:t xml:space="preserve"> in </w:t>
      </w:r>
      <w:r w:rsidR="00ED7E38">
        <w:t xml:space="preserve">August </w:t>
      </w:r>
      <w:r>
        <w:t xml:space="preserve">2014 proposed that </w:t>
      </w:r>
      <w:r w:rsidR="0057370B">
        <w:t xml:space="preserve">only </w:t>
      </w:r>
      <w:r>
        <w:t xml:space="preserve">school </w:t>
      </w:r>
      <w:r w:rsidR="00F052A7">
        <w:t>activities should be free of charge</w:t>
      </w:r>
      <w:r w:rsidR="00BE0C30">
        <w:t>. The report</w:t>
      </w:r>
      <w:r>
        <w:t xml:space="preserve"> provided a comprehensive list of activities that would qualify:</w:t>
      </w:r>
    </w:p>
    <w:p w:rsidR="004F2398" w:rsidRPr="00AC2518" w:rsidRDefault="004F2398" w:rsidP="004F2398">
      <w:pPr>
        <w:pStyle w:val="Default"/>
        <w:numPr>
          <w:ilvl w:val="0"/>
          <w:numId w:val="5"/>
        </w:numPr>
        <w:spacing w:line="276" w:lineRule="auto"/>
        <w:jc w:val="both"/>
      </w:pPr>
      <w:r w:rsidRPr="00AC2518">
        <w:t xml:space="preserve">School-related events e.g. parents’ nights, school discos, concerts, school sports teams’ practices and matches, information sessions </w:t>
      </w:r>
    </w:p>
    <w:p w:rsidR="004F2398" w:rsidRPr="00AC2518" w:rsidRDefault="004F2398" w:rsidP="004F2398">
      <w:pPr>
        <w:pStyle w:val="Default"/>
        <w:numPr>
          <w:ilvl w:val="0"/>
          <w:numId w:val="5"/>
        </w:numPr>
        <w:spacing w:line="276" w:lineRule="auto"/>
        <w:jc w:val="both"/>
      </w:pPr>
      <w:r w:rsidRPr="00AC2518">
        <w:t xml:space="preserve">Parent Councils – for regular meetings </w:t>
      </w:r>
    </w:p>
    <w:p w:rsidR="004F2398" w:rsidRPr="00AC2518" w:rsidRDefault="004F2398" w:rsidP="004F2398">
      <w:pPr>
        <w:pStyle w:val="Default"/>
        <w:numPr>
          <w:ilvl w:val="0"/>
          <w:numId w:val="5"/>
        </w:numPr>
        <w:spacing w:line="276" w:lineRule="auto"/>
        <w:jc w:val="both"/>
      </w:pPr>
      <w:r w:rsidRPr="00AC2518">
        <w:t xml:space="preserve">Parent Support Groups – for regular meetings </w:t>
      </w:r>
    </w:p>
    <w:p w:rsidR="004F2398" w:rsidRPr="00AC2518" w:rsidRDefault="004F2398" w:rsidP="004F2398">
      <w:pPr>
        <w:pStyle w:val="Default"/>
        <w:numPr>
          <w:ilvl w:val="0"/>
          <w:numId w:val="5"/>
        </w:numPr>
        <w:spacing w:line="276" w:lineRule="auto"/>
        <w:jc w:val="both"/>
      </w:pPr>
      <w:r w:rsidRPr="00AC2518">
        <w:t xml:space="preserve">Fundraising activities that directly benefit the school for example, events organised by schools, pupils or parents for school funds or school trips </w:t>
      </w:r>
    </w:p>
    <w:p w:rsidR="004F2398" w:rsidRPr="00AC2518" w:rsidRDefault="004F2398" w:rsidP="004F2398">
      <w:pPr>
        <w:pStyle w:val="Default"/>
        <w:numPr>
          <w:ilvl w:val="0"/>
          <w:numId w:val="5"/>
        </w:numPr>
        <w:spacing w:line="276" w:lineRule="auto"/>
        <w:jc w:val="both"/>
      </w:pPr>
      <w:r w:rsidRPr="00AC2518">
        <w:t xml:space="preserve">Activities directly organised and under the control of Active Schools’ Co-ordinators and that are delivered as an integral part of the Active Schools’ programme </w:t>
      </w:r>
    </w:p>
    <w:p w:rsidR="004F2398" w:rsidRPr="00AC2518" w:rsidRDefault="004F2398" w:rsidP="004F2398">
      <w:pPr>
        <w:pStyle w:val="Default"/>
        <w:numPr>
          <w:ilvl w:val="0"/>
          <w:numId w:val="5"/>
        </w:numPr>
        <w:spacing w:line="276" w:lineRule="auto"/>
        <w:jc w:val="both"/>
      </w:pPr>
      <w:r w:rsidRPr="00AC2518">
        <w:t xml:space="preserve">Activities that are part of the defined curriculum but happen to take place after school </w:t>
      </w:r>
    </w:p>
    <w:p w:rsidR="0057370B" w:rsidRDefault="004F2398" w:rsidP="0057370B">
      <w:pPr>
        <w:pStyle w:val="Default"/>
        <w:numPr>
          <w:ilvl w:val="0"/>
          <w:numId w:val="5"/>
        </w:numPr>
        <w:spacing w:line="276" w:lineRule="auto"/>
        <w:jc w:val="both"/>
      </w:pPr>
      <w:r w:rsidRPr="00AC2518">
        <w:t>Extra-curricular a</w:t>
      </w:r>
      <w:r w:rsidR="0057370B">
        <w:t xml:space="preserve">ctivities for school pupils:- </w:t>
      </w:r>
    </w:p>
    <w:p w:rsidR="004F2398" w:rsidRPr="00AC2518" w:rsidRDefault="004F2398" w:rsidP="0057370B">
      <w:pPr>
        <w:pStyle w:val="Default"/>
        <w:numPr>
          <w:ilvl w:val="1"/>
          <w:numId w:val="5"/>
        </w:numPr>
        <w:spacing w:line="276" w:lineRule="auto"/>
        <w:jc w:val="both"/>
      </w:pPr>
      <w:r w:rsidRPr="00AC2518">
        <w:t xml:space="preserve">That are run by teachers or parent volunteers or by commissioned groups under the direct control and supervision of the Head Teacher </w:t>
      </w:r>
    </w:p>
    <w:p w:rsidR="004F2398" w:rsidRPr="00AC2518" w:rsidRDefault="004F2398" w:rsidP="0057370B">
      <w:pPr>
        <w:pStyle w:val="Default"/>
        <w:numPr>
          <w:ilvl w:val="1"/>
          <w:numId w:val="5"/>
        </w:numPr>
        <w:spacing w:line="276" w:lineRule="auto"/>
        <w:jc w:val="both"/>
      </w:pPr>
      <w:r w:rsidRPr="00AC2518">
        <w:rPr>
          <w:b/>
          <w:bCs/>
        </w:rPr>
        <w:lastRenderedPageBreak/>
        <w:t xml:space="preserve">And, </w:t>
      </w:r>
      <w:r w:rsidRPr="00AC2518">
        <w:t xml:space="preserve">where the school retains responsibility for issues such as health and safety, child and adult protection, insurance, security etc. </w:t>
      </w:r>
    </w:p>
    <w:p w:rsidR="004F2398" w:rsidRPr="00AC2518" w:rsidRDefault="004F2398" w:rsidP="0057370B">
      <w:pPr>
        <w:pStyle w:val="Default"/>
        <w:numPr>
          <w:ilvl w:val="1"/>
          <w:numId w:val="5"/>
        </w:numPr>
        <w:spacing w:line="276" w:lineRule="auto"/>
        <w:jc w:val="both"/>
      </w:pPr>
      <w:r w:rsidRPr="00AC2518">
        <w:rPr>
          <w:b/>
          <w:bCs/>
        </w:rPr>
        <w:t xml:space="preserve">And, </w:t>
      </w:r>
      <w:r w:rsidRPr="00AC2518">
        <w:t xml:space="preserve">are either free of charge to participants or where the school receives the income </w:t>
      </w:r>
    </w:p>
    <w:p w:rsidR="004F2398" w:rsidRPr="00AC2518" w:rsidRDefault="004F2398" w:rsidP="004F2398">
      <w:pPr>
        <w:pStyle w:val="Default"/>
        <w:numPr>
          <w:ilvl w:val="0"/>
          <w:numId w:val="5"/>
        </w:numPr>
        <w:spacing w:line="276" w:lineRule="auto"/>
        <w:jc w:val="both"/>
      </w:pPr>
      <w:r w:rsidRPr="00AC2518">
        <w:t xml:space="preserve">Occasional one-off use as sanctioned by the Head Teacher for activities that contribute directly to the achievement of wider school objectives e.g. quizzes for pupils organised by rotary clubs. </w:t>
      </w:r>
    </w:p>
    <w:p w:rsidR="004F2398" w:rsidRDefault="004F2398" w:rsidP="004F2398">
      <w:r>
        <w:t xml:space="preserve"> </w:t>
      </w:r>
    </w:p>
    <w:p w:rsidR="00B82FC6" w:rsidRDefault="004F2398" w:rsidP="004F2398">
      <w:pPr>
        <w:rPr>
          <w:color w:val="000000" w:themeColor="text1"/>
        </w:rPr>
      </w:pPr>
      <w:r w:rsidRPr="00BE0C30">
        <w:rPr>
          <w:color w:val="000000" w:themeColor="text1"/>
        </w:rPr>
        <w:t xml:space="preserve">This list is comprehensive and covers all school related use </w:t>
      </w:r>
      <w:r w:rsidR="00D93770" w:rsidRPr="00BE0C30">
        <w:rPr>
          <w:color w:val="000000" w:themeColor="text1"/>
        </w:rPr>
        <w:t>and so</w:t>
      </w:r>
      <w:r w:rsidRPr="00BE0C30">
        <w:rPr>
          <w:color w:val="000000" w:themeColor="text1"/>
        </w:rPr>
        <w:t xml:space="preserve"> </w:t>
      </w:r>
      <w:r w:rsidR="00D93770" w:rsidRPr="00BE0C30">
        <w:rPr>
          <w:color w:val="000000" w:themeColor="text1"/>
        </w:rPr>
        <w:t>i</w:t>
      </w:r>
      <w:r w:rsidR="0057370B" w:rsidRPr="00BE0C30">
        <w:rPr>
          <w:color w:val="000000" w:themeColor="text1"/>
        </w:rPr>
        <w:t xml:space="preserve">t is proposed that this list remains the definition of non-chargeable school events. </w:t>
      </w:r>
    </w:p>
    <w:p w:rsidR="00B82FC6" w:rsidRDefault="00B82FC6" w:rsidP="004F2398">
      <w:pPr>
        <w:rPr>
          <w:color w:val="000000" w:themeColor="text1"/>
        </w:rPr>
      </w:pPr>
    </w:p>
    <w:p w:rsidR="00BE0C30" w:rsidRPr="00BE0C30" w:rsidRDefault="004F2398" w:rsidP="004F2398">
      <w:pPr>
        <w:rPr>
          <w:color w:val="000000" w:themeColor="text1"/>
        </w:rPr>
      </w:pPr>
      <w:r w:rsidRPr="00BE0C30">
        <w:rPr>
          <w:color w:val="000000" w:themeColor="text1"/>
        </w:rPr>
        <w:t>With regards to H</w:t>
      </w:r>
      <w:r w:rsidR="0057370B" w:rsidRPr="00BE0C30">
        <w:rPr>
          <w:color w:val="000000" w:themeColor="text1"/>
        </w:rPr>
        <w:t xml:space="preserve">ighland </w:t>
      </w:r>
      <w:r w:rsidRPr="00BE0C30">
        <w:rPr>
          <w:color w:val="000000" w:themeColor="text1"/>
        </w:rPr>
        <w:t>C</w:t>
      </w:r>
      <w:r w:rsidR="0057370B" w:rsidRPr="00BE0C30">
        <w:rPr>
          <w:color w:val="000000" w:themeColor="text1"/>
        </w:rPr>
        <w:t>ouncil</w:t>
      </w:r>
      <w:r w:rsidRPr="00BE0C30">
        <w:rPr>
          <w:color w:val="000000" w:themeColor="text1"/>
        </w:rPr>
        <w:t>, these</w:t>
      </w:r>
      <w:r w:rsidR="00583A42" w:rsidRPr="00BE0C30">
        <w:rPr>
          <w:color w:val="000000" w:themeColor="text1"/>
        </w:rPr>
        <w:t xml:space="preserve"> lets</w:t>
      </w:r>
      <w:r w:rsidRPr="00BE0C30">
        <w:rPr>
          <w:color w:val="000000" w:themeColor="text1"/>
        </w:rPr>
        <w:t xml:space="preserve"> should also not be charged, otherwise the Council would be charging itself, incurring administrative costs for no net gain. </w:t>
      </w:r>
      <w:r w:rsidR="00BE0C30" w:rsidRPr="00BE0C30">
        <w:rPr>
          <w:color w:val="000000" w:themeColor="text1"/>
        </w:rPr>
        <w:t>Similarly where HLH operate facilities on the Councils behalf, charging would only increase pressure on the grant requirement fro</w:t>
      </w:r>
      <w:r w:rsidR="00583A42" w:rsidRPr="00BE0C30">
        <w:rPr>
          <w:color w:val="000000" w:themeColor="text1"/>
        </w:rPr>
        <w:t>m the Council</w:t>
      </w:r>
      <w:r w:rsidR="00BE0C30" w:rsidRPr="00BE0C30">
        <w:rPr>
          <w:color w:val="000000" w:themeColor="text1"/>
        </w:rPr>
        <w:t xml:space="preserve"> and incur administrative cost</w:t>
      </w:r>
      <w:r w:rsidR="00583A42" w:rsidRPr="00BE0C30">
        <w:rPr>
          <w:color w:val="000000" w:themeColor="text1"/>
        </w:rPr>
        <w:t xml:space="preserve">. </w:t>
      </w:r>
      <w:r w:rsidRPr="00BE0C30">
        <w:rPr>
          <w:color w:val="000000" w:themeColor="text1"/>
        </w:rPr>
        <w:t>However</w:t>
      </w:r>
      <w:r w:rsidR="00BE0C30" w:rsidRPr="00BE0C30">
        <w:rPr>
          <w:color w:val="000000" w:themeColor="text1"/>
        </w:rPr>
        <w:t>, when hosting a Council event incurs additional c</w:t>
      </w:r>
      <w:r w:rsidR="00800EB7">
        <w:rPr>
          <w:color w:val="000000" w:themeColor="text1"/>
        </w:rPr>
        <w:t xml:space="preserve">ost (such as a Council service </w:t>
      </w:r>
      <w:r w:rsidR="00BE0C30" w:rsidRPr="00BE0C30">
        <w:rPr>
          <w:color w:val="000000" w:themeColor="text1"/>
        </w:rPr>
        <w:t>organising an event in a school not available for lets, or where</w:t>
      </w:r>
      <w:r w:rsidR="00800EB7">
        <w:rPr>
          <w:color w:val="000000" w:themeColor="text1"/>
        </w:rPr>
        <w:t xml:space="preserve"> HLH hires a venue for its use, </w:t>
      </w:r>
      <w:r w:rsidR="00BE0C30" w:rsidRPr="00BE0C30">
        <w:rPr>
          <w:color w:val="000000" w:themeColor="text1"/>
        </w:rPr>
        <w:t xml:space="preserve">for example staff training or a chargeable event) then charges may be appropriate. Guidance will need to be drawn up, and consistency in this area will be supported by the creation of a central booking function. </w:t>
      </w:r>
    </w:p>
    <w:p w:rsidR="004F2398" w:rsidRDefault="004F2398" w:rsidP="004F2398"/>
    <w:p w:rsidR="00BE0C30" w:rsidRDefault="00B82FC6" w:rsidP="004F2398">
      <w:r>
        <w:t>With regards to playgroups and out of school childcare, statutory entitlement and arrangements for their provision are currently going through a number of changes. It will be worth review</w:t>
      </w:r>
      <w:r w:rsidR="00800EB7">
        <w:t>ing</w:t>
      </w:r>
      <w:r>
        <w:t xml:space="preserve"> the charging regime for the mix of Council, community/third sector and private provision once the new arrangements have settled in.  </w:t>
      </w:r>
    </w:p>
    <w:p w:rsidR="00BE0C30" w:rsidRDefault="00BE0C30" w:rsidP="004F2398"/>
    <w:p w:rsidR="004F2398" w:rsidRDefault="00003527" w:rsidP="004F2398">
      <w:r>
        <w:t>There are four</w:t>
      </w:r>
      <w:r w:rsidR="004F2398">
        <w:t xml:space="preserve"> categories where the rationale for granting free lets is less clear:</w:t>
      </w:r>
    </w:p>
    <w:p w:rsidR="004F2398" w:rsidRDefault="004F2398" w:rsidP="004F2398">
      <w:pPr>
        <w:pStyle w:val="ListParagraph"/>
        <w:numPr>
          <w:ilvl w:val="0"/>
          <w:numId w:val="6"/>
        </w:numPr>
      </w:pPr>
      <w:r>
        <w:t>Uniformed groups</w:t>
      </w:r>
    </w:p>
    <w:p w:rsidR="004F2398" w:rsidRDefault="004F2398" w:rsidP="004F2398">
      <w:pPr>
        <w:pStyle w:val="ListParagraph"/>
        <w:numPr>
          <w:ilvl w:val="0"/>
          <w:numId w:val="6"/>
        </w:numPr>
      </w:pPr>
      <w:r>
        <w:t>Community Councils</w:t>
      </w:r>
    </w:p>
    <w:p w:rsidR="00003527" w:rsidRDefault="00003527" w:rsidP="004F2398">
      <w:pPr>
        <w:pStyle w:val="ListParagraph"/>
        <w:numPr>
          <w:ilvl w:val="0"/>
          <w:numId w:val="6"/>
        </w:numPr>
      </w:pPr>
      <w:r>
        <w:t>Feisean</w:t>
      </w:r>
      <w:r w:rsidR="00B82FC6">
        <w:t xml:space="preserve"> and Mods</w:t>
      </w:r>
    </w:p>
    <w:p w:rsidR="0057370B" w:rsidRDefault="0057370B" w:rsidP="004F2398">
      <w:pPr>
        <w:pStyle w:val="ListParagraph"/>
        <w:numPr>
          <w:ilvl w:val="0"/>
          <w:numId w:val="6"/>
        </w:numPr>
      </w:pPr>
      <w:r>
        <w:t>Historic/inherited arrangements</w:t>
      </w:r>
      <w:r w:rsidR="00C116FC">
        <w:t>.</w:t>
      </w:r>
    </w:p>
    <w:p w:rsidR="00AC5DC0" w:rsidRDefault="00AC5DC0" w:rsidP="004F2398"/>
    <w:p w:rsidR="00AB0AE9" w:rsidRPr="00AB0AE9" w:rsidRDefault="00AB0AE9" w:rsidP="004F2398">
      <w:pPr>
        <w:rPr>
          <w:u w:val="single"/>
        </w:rPr>
      </w:pPr>
      <w:r w:rsidRPr="00AB0AE9">
        <w:rPr>
          <w:u w:val="single"/>
        </w:rPr>
        <w:t>Uniformed Groups</w:t>
      </w:r>
    </w:p>
    <w:p w:rsidR="00650AF4" w:rsidRDefault="00ED7E38" w:rsidP="00AB0AE9">
      <w:r>
        <w:t>Uniformed g</w:t>
      </w:r>
      <w:r w:rsidR="00650AF4">
        <w:t>r</w:t>
      </w:r>
      <w:r>
        <w:t>oups</w:t>
      </w:r>
      <w:r w:rsidR="005B0CEF">
        <w:t xml:space="preserve"> (i.e. Guides, Scouts, Boys Brigade, C</w:t>
      </w:r>
      <w:r w:rsidR="00AB0AE9">
        <w:t>adets etc.</w:t>
      </w:r>
      <w:r w:rsidR="005B0CEF">
        <w:t>)</w:t>
      </w:r>
      <w:r>
        <w:t xml:space="preserve"> charge for attendance </w:t>
      </w:r>
      <w:r w:rsidR="00650AF4">
        <w:t>and the charges proposed</w:t>
      </w:r>
      <w:r w:rsidR="005B0CEF">
        <w:t xml:space="preserve"> Band A (Community Groups)</w:t>
      </w:r>
      <w:r w:rsidR="00650AF4">
        <w:t xml:space="preserve"> with a 50% d</w:t>
      </w:r>
      <w:r w:rsidR="005B0CEF">
        <w:t xml:space="preserve">iscount (participants are under </w:t>
      </w:r>
      <w:r w:rsidR="00650AF4">
        <w:t xml:space="preserve">18) are not excessive. </w:t>
      </w:r>
    </w:p>
    <w:p w:rsidR="00AB0AE9" w:rsidRDefault="00AB0AE9" w:rsidP="00AB0AE9"/>
    <w:p w:rsidR="00AB0AE9" w:rsidRPr="00AB0AE9" w:rsidRDefault="00AB0AE9" w:rsidP="00AB0AE9">
      <w:pPr>
        <w:rPr>
          <w:u w:val="single"/>
        </w:rPr>
      </w:pPr>
      <w:r w:rsidRPr="00AB0AE9">
        <w:rPr>
          <w:u w:val="single"/>
        </w:rPr>
        <w:t>Community Councils</w:t>
      </w:r>
    </w:p>
    <w:p w:rsidR="002D6102" w:rsidRDefault="00650AF4" w:rsidP="00AB0AE9">
      <w:r>
        <w:t>Community Council</w:t>
      </w:r>
      <w:r w:rsidR="00ED7E38">
        <w:t xml:space="preserve">s </w:t>
      </w:r>
      <w:r w:rsidR="00AC5DC0">
        <w:t>receive</w:t>
      </w:r>
      <w:r w:rsidR="005B0CEF">
        <w:t xml:space="preserve"> grants from</w:t>
      </w:r>
      <w:r w:rsidR="00ED7E38">
        <w:t xml:space="preserve"> Highland Council. </w:t>
      </w:r>
      <w:r>
        <w:t>These grants</w:t>
      </w:r>
      <w:r w:rsidR="008F35FE">
        <w:t>, which amount to</w:t>
      </w:r>
      <w:r>
        <w:t xml:space="preserve"> </w:t>
      </w:r>
      <w:r w:rsidR="008F35FE">
        <w:t xml:space="preserve">several hundred pounds, </w:t>
      </w:r>
      <w:r>
        <w:t>are specifically</w:t>
      </w:r>
      <w:r w:rsidR="00ED7E38">
        <w:t xml:space="preserve"> </w:t>
      </w:r>
      <w:r>
        <w:t>to cover</w:t>
      </w:r>
      <w:r w:rsidR="00ED7E38">
        <w:t xml:space="preserve"> the </w:t>
      </w:r>
      <w:r>
        <w:t xml:space="preserve">costs of </w:t>
      </w:r>
      <w:r w:rsidR="00D93770">
        <w:t>operating the Community Counci</w:t>
      </w:r>
      <w:r w:rsidR="008F35FE">
        <w:t>l, including costs of meetings</w:t>
      </w:r>
      <w:r w:rsidR="00ED7E38">
        <w:t>. Th</w:t>
      </w:r>
      <w:r>
        <w:t>ere is</w:t>
      </w:r>
      <w:r w:rsidR="00ED7E38">
        <w:t xml:space="preserve"> no reason </w:t>
      </w:r>
      <w:r>
        <w:t>why any</w:t>
      </w:r>
      <w:r w:rsidR="00ED7E38">
        <w:t xml:space="preserve"> Community Council should</w:t>
      </w:r>
      <w:r>
        <w:t xml:space="preserve"> </w:t>
      </w:r>
      <w:r w:rsidR="00ED7E38">
        <w:t>be given free lets</w:t>
      </w:r>
      <w:r>
        <w:t xml:space="preserve"> (at HC expense) for their meetings. </w:t>
      </w:r>
      <w:r>
        <w:lastRenderedPageBreak/>
        <w:t>Furthermore schools are often not best suited for Community Council meetings</w:t>
      </w:r>
      <w:r w:rsidR="00D93770">
        <w:t>,</w:t>
      </w:r>
      <w:r>
        <w:t xml:space="preserve"> which are held in public. </w:t>
      </w:r>
    </w:p>
    <w:p w:rsidR="00AB0AE9" w:rsidRPr="00AB0AE9" w:rsidRDefault="00AB0AE9" w:rsidP="00AB0AE9">
      <w:pPr>
        <w:rPr>
          <w:color w:val="000000" w:themeColor="text1"/>
        </w:rPr>
      </w:pPr>
    </w:p>
    <w:p w:rsidR="00AB0AE9" w:rsidRPr="00AB0AE9" w:rsidRDefault="00AB0AE9" w:rsidP="00AB0AE9">
      <w:pPr>
        <w:rPr>
          <w:color w:val="000000" w:themeColor="text1"/>
          <w:u w:val="single"/>
        </w:rPr>
      </w:pPr>
      <w:r w:rsidRPr="00AB0AE9">
        <w:rPr>
          <w:color w:val="000000" w:themeColor="text1"/>
          <w:u w:val="single"/>
        </w:rPr>
        <w:t>Feisean and Mods</w:t>
      </w:r>
    </w:p>
    <w:p w:rsidR="00AC5DC0" w:rsidRPr="00AB0AE9" w:rsidRDefault="001309A0" w:rsidP="00AB0AE9">
      <w:pPr>
        <w:rPr>
          <w:color w:val="000000" w:themeColor="text1"/>
        </w:rPr>
      </w:pPr>
      <w:r w:rsidRPr="00AB0AE9">
        <w:rPr>
          <w:color w:val="000000" w:themeColor="text1"/>
        </w:rPr>
        <w:t>Like Community Councils the Feis movement is also in receipt of grants from HC to deliver activities, and like uniformed groups</w:t>
      </w:r>
      <w:r w:rsidR="002A30BB" w:rsidRPr="00AB0AE9">
        <w:rPr>
          <w:color w:val="000000" w:themeColor="text1"/>
        </w:rPr>
        <w:t>,</w:t>
      </w:r>
      <w:r w:rsidRPr="00AB0AE9">
        <w:rPr>
          <w:color w:val="000000" w:themeColor="text1"/>
        </w:rPr>
        <w:t xml:space="preserve"> participants</w:t>
      </w:r>
      <w:r w:rsidR="002A30BB" w:rsidRPr="00AB0AE9">
        <w:rPr>
          <w:color w:val="000000" w:themeColor="text1"/>
        </w:rPr>
        <w:t xml:space="preserve"> are charged to take part</w:t>
      </w:r>
      <w:r w:rsidRPr="00AB0AE9">
        <w:rPr>
          <w:color w:val="000000" w:themeColor="text1"/>
        </w:rPr>
        <w:t>.</w:t>
      </w:r>
      <w:r w:rsidR="002A30BB" w:rsidRPr="00AB0AE9">
        <w:rPr>
          <w:color w:val="000000" w:themeColor="text1"/>
        </w:rPr>
        <w:t xml:space="preserve"> Normally lets such as these would</w:t>
      </w:r>
      <w:r w:rsidRPr="00AB0AE9">
        <w:rPr>
          <w:color w:val="000000" w:themeColor="text1"/>
        </w:rPr>
        <w:t xml:space="preserve"> fall under Band A </w:t>
      </w:r>
      <w:r w:rsidR="002A30BB" w:rsidRPr="00AB0AE9">
        <w:rPr>
          <w:color w:val="000000" w:themeColor="text1"/>
        </w:rPr>
        <w:t>(</w:t>
      </w:r>
      <w:r w:rsidRPr="00AB0AE9">
        <w:rPr>
          <w:color w:val="000000" w:themeColor="text1"/>
        </w:rPr>
        <w:t>Community</w:t>
      </w:r>
      <w:r w:rsidR="002A30BB" w:rsidRPr="00AB0AE9">
        <w:rPr>
          <w:color w:val="000000" w:themeColor="text1"/>
        </w:rPr>
        <w:t xml:space="preserve"> Groups)</w:t>
      </w:r>
      <w:r w:rsidR="007444D8" w:rsidRPr="00AB0AE9">
        <w:rPr>
          <w:color w:val="000000" w:themeColor="text1"/>
        </w:rPr>
        <w:t xml:space="preserve">, however there is a mix of approaches with some Feisean charged and others not. </w:t>
      </w:r>
      <w:r w:rsidR="005A1CFF" w:rsidRPr="00AB0AE9">
        <w:rPr>
          <w:color w:val="000000" w:themeColor="text1"/>
        </w:rPr>
        <w:t xml:space="preserve">This in part stems from an amendment agreed at Highland Council in May 2009 that sought to exempt Feisean holiday programmes from charges, and </w:t>
      </w:r>
      <w:r w:rsidR="008F35FE" w:rsidRPr="00AB0AE9">
        <w:rPr>
          <w:color w:val="000000" w:themeColor="text1"/>
        </w:rPr>
        <w:t xml:space="preserve">is </w:t>
      </w:r>
      <w:r w:rsidR="005A1CFF" w:rsidRPr="00AB0AE9">
        <w:rPr>
          <w:color w:val="000000" w:themeColor="text1"/>
        </w:rPr>
        <w:t>reflected in the lack of charges for whol</w:t>
      </w:r>
      <w:r w:rsidR="00AC5DC0" w:rsidRPr="00AB0AE9">
        <w:rPr>
          <w:color w:val="000000" w:themeColor="text1"/>
        </w:rPr>
        <w:t>e school lets</w:t>
      </w:r>
      <w:r w:rsidR="005B0CEF">
        <w:rPr>
          <w:color w:val="000000" w:themeColor="text1"/>
        </w:rPr>
        <w:t xml:space="preserve"> for Feisean</w:t>
      </w:r>
      <w:r w:rsidR="005A1CFF" w:rsidRPr="00AB0AE9">
        <w:rPr>
          <w:color w:val="000000" w:themeColor="text1"/>
        </w:rPr>
        <w:t xml:space="preserve">. </w:t>
      </w:r>
      <w:r w:rsidR="007444D8" w:rsidRPr="00AB0AE9">
        <w:rPr>
          <w:color w:val="000000" w:themeColor="text1"/>
        </w:rPr>
        <w:t>There needs to be equity and transparency with regards to the treatment of Feisean and it is proposed that they are treated as Band A lets and charged accordingly. For large scale events, exclusive use</w:t>
      </w:r>
      <w:r w:rsidR="008F35FE" w:rsidRPr="00AB0AE9">
        <w:rPr>
          <w:color w:val="000000" w:themeColor="text1"/>
        </w:rPr>
        <w:t xml:space="preserve"> rates (see Section 3.5)</w:t>
      </w:r>
      <w:r w:rsidR="007444D8" w:rsidRPr="00AB0AE9">
        <w:rPr>
          <w:color w:val="000000" w:themeColor="text1"/>
        </w:rPr>
        <w:t xml:space="preserve"> would apply. </w:t>
      </w:r>
      <w:r w:rsidR="007E203B" w:rsidRPr="00AB0AE9">
        <w:rPr>
          <w:color w:val="000000" w:themeColor="text1"/>
        </w:rPr>
        <w:t>If Feisean 2016/17 use wer</w:t>
      </w:r>
      <w:r w:rsidR="00FC372C" w:rsidRPr="00AB0AE9">
        <w:rPr>
          <w:color w:val="000000" w:themeColor="text1"/>
        </w:rPr>
        <w:t>e</w:t>
      </w:r>
      <w:r w:rsidR="007E203B" w:rsidRPr="00AB0AE9">
        <w:rPr>
          <w:color w:val="000000" w:themeColor="text1"/>
        </w:rPr>
        <w:t xml:space="preserve"> charged at proposed Band A and exclusive</w:t>
      </w:r>
      <w:r w:rsidR="008F35FE" w:rsidRPr="00AB0AE9">
        <w:rPr>
          <w:color w:val="000000" w:themeColor="text1"/>
        </w:rPr>
        <w:t xml:space="preserve"> use</w:t>
      </w:r>
      <w:r w:rsidR="007E203B" w:rsidRPr="00AB0AE9">
        <w:rPr>
          <w:color w:val="000000" w:themeColor="text1"/>
        </w:rPr>
        <w:t xml:space="preserve"> rates for</w:t>
      </w:r>
      <w:r w:rsidR="00DB1AA3" w:rsidRPr="00AB0AE9">
        <w:rPr>
          <w:color w:val="000000" w:themeColor="text1"/>
        </w:rPr>
        <w:t xml:space="preserve"> 2018/19 that would earn an additional £10,574</w:t>
      </w:r>
      <w:r w:rsidR="00AC5DC0" w:rsidRPr="00AB0AE9">
        <w:rPr>
          <w:color w:val="000000" w:themeColor="text1"/>
        </w:rPr>
        <w:t>.</w:t>
      </w:r>
    </w:p>
    <w:p w:rsidR="00AB0AE9" w:rsidRPr="00AB0AE9" w:rsidRDefault="00AB0AE9" w:rsidP="00AB0AE9">
      <w:pPr>
        <w:rPr>
          <w:color w:val="000000" w:themeColor="text1"/>
        </w:rPr>
      </w:pPr>
    </w:p>
    <w:p w:rsidR="001309A0" w:rsidRPr="00AB0AE9" w:rsidRDefault="00AC5DC0" w:rsidP="00AB0AE9">
      <w:pPr>
        <w:rPr>
          <w:color w:val="000000" w:themeColor="text1"/>
        </w:rPr>
      </w:pPr>
      <w:r w:rsidRPr="00AB0AE9">
        <w:rPr>
          <w:color w:val="000000" w:themeColor="text1"/>
        </w:rPr>
        <w:t>Mods, although fairly irregular, place considerable cost burden on the</w:t>
      </w:r>
      <w:r w:rsidR="00AB0AE9" w:rsidRPr="00AB0AE9">
        <w:rPr>
          <w:color w:val="000000" w:themeColor="text1"/>
        </w:rPr>
        <w:t xml:space="preserve"> Council</w:t>
      </w:r>
      <w:r w:rsidRPr="00AB0AE9">
        <w:rPr>
          <w:color w:val="000000" w:themeColor="text1"/>
        </w:rPr>
        <w:t xml:space="preserve"> when events are hosted in schools – for example t</w:t>
      </w:r>
      <w:r w:rsidR="005B0CEF">
        <w:rPr>
          <w:color w:val="000000" w:themeColor="text1"/>
        </w:rPr>
        <w:t>his year in Fort William during</w:t>
      </w:r>
      <w:r w:rsidRPr="00AB0AE9">
        <w:rPr>
          <w:color w:val="000000" w:themeColor="text1"/>
        </w:rPr>
        <w:t xml:space="preserve"> the October school break. These are important cultural events, but the Mod should make a contribution to the cost of hosting the</w:t>
      </w:r>
      <w:r w:rsidR="00AB0AE9" w:rsidRPr="00AB0AE9">
        <w:rPr>
          <w:color w:val="000000" w:themeColor="text1"/>
        </w:rPr>
        <w:t xml:space="preserve">m. Furthermore </w:t>
      </w:r>
      <w:r w:rsidR="005B0CEF" w:rsidRPr="00AB0AE9">
        <w:rPr>
          <w:color w:val="000000" w:themeColor="text1"/>
        </w:rPr>
        <w:t>participants</w:t>
      </w:r>
      <w:r w:rsidR="00AB0AE9" w:rsidRPr="00AB0AE9">
        <w:rPr>
          <w:color w:val="000000" w:themeColor="text1"/>
        </w:rPr>
        <w:t xml:space="preserve"> pay fees to enter and the audiences are charge</w:t>
      </w:r>
      <w:r w:rsidR="005B0CEF">
        <w:rPr>
          <w:color w:val="000000" w:themeColor="text1"/>
        </w:rPr>
        <w:t>d for tickets, suggesting Band B (Semi Commercial) would be the most appropriate rate.</w:t>
      </w:r>
      <w:r w:rsidRPr="00AB0AE9">
        <w:rPr>
          <w:color w:val="000000" w:themeColor="text1"/>
        </w:rPr>
        <w:t xml:space="preserve">  </w:t>
      </w:r>
      <w:r w:rsidR="001309A0" w:rsidRPr="00AB0AE9">
        <w:rPr>
          <w:color w:val="000000" w:themeColor="text1"/>
        </w:rPr>
        <w:t xml:space="preserve">     </w:t>
      </w:r>
    </w:p>
    <w:p w:rsidR="007E203B" w:rsidRPr="00AB0AE9" w:rsidRDefault="007E203B" w:rsidP="004F2398">
      <w:pPr>
        <w:rPr>
          <w:color w:val="000000" w:themeColor="text1"/>
        </w:rPr>
      </w:pPr>
    </w:p>
    <w:p w:rsidR="002D6102" w:rsidRPr="00AB0AE9" w:rsidRDefault="00AB0AE9" w:rsidP="004F2398">
      <w:pPr>
        <w:rPr>
          <w:color w:val="000000" w:themeColor="text1"/>
          <w:u w:val="single"/>
        </w:rPr>
      </w:pPr>
      <w:r w:rsidRPr="00AB0AE9">
        <w:rPr>
          <w:color w:val="000000" w:themeColor="text1"/>
          <w:u w:val="single"/>
        </w:rPr>
        <w:t>Historic/inherited arrangements</w:t>
      </w:r>
    </w:p>
    <w:p w:rsidR="004F2398" w:rsidRDefault="00003527" w:rsidP="004F2398">
      <w:r w:rsidRPr="00AB0AE9">
        <w:rPr>
          <w:color w:val="000000" w:themeColor="text1"/>
        </w:rPr>
        <w:t>Finally, there is a fourth</w:t>
      </w:r>
      <w:r w:rsidR="004F2398" w:rsidRPr="00AB0AE9">
        <w:rPr>
          <w:color w:val="000000" w:themeColor="text1"/>
        </w:rPr>
        <w:t xml:space="preserve"> category of f</w:t>
      </w:r>
      <w:r w:rsidR="00D92717">
        <w:rPr>
          <w:color w:val="000000" w:themeColor="text1"/>
        </w:rPr>
        <w:t>r</w:t>
      </w:r>
      <w:r w:rsidR="004F2398" w:rsidRPr="00AB0AE9">
        <w:rPr>
          <w:color w:val="000000" w:themeColor="text1"/>
        </w:rPr>
        <w:t xml:space="preserve">ee lets, where organisations or communities which have raised funds, gifted land or supported in some other capacity the development of schools / community centres enjoy various forms of free access. There are several examples of this across Highland. Naturally these are sensitive locally and some are longstanding. Each would require consideration on its merit, but one approach may be to do a “reckoning up” of the original contribution and the </w:t>
      </w:r>
      <w:r w:rsidR="004F2398">
        <w:t xml:space="preserve">benefit since received to determine whether continuing the arrangement is justified. It should be noted that village halls and community centres, built after extensive contributions from their communities, still charge for use. </w:t>
      </w:r>
    </w:p>
    <w:p w:rsidR="00813F15" w:rsidRDefault="00813F15" w:rsidP="00813F15">
      <w:pPr>
        <w:rPr>
          <w:color w:val="000000" w:themeColor="text1"/>
        </w:rPr>
      </w:pPr>
    </w:p>
    <w:p w:rsidR="00813F15" w:rsidRPr="00AB0AE9" w:rsidRDefault="00813F15" w:rsidP="00813F15">
      <w:pPr>
        <w:rPr>
          <w:color w:val="000000" w:themeColor="text1"/>
        </w:rPr>
      </w:pPr>
      <w:r>
        <w:rPr>
          <w:color w:val="000000" w:themeColor="text1"/>
        </w:rPr>
        <w:t>These</w:t>
      </w:r>
      <w:r w:rsidRPr="00AB0AE9">
        <w:rPr>
          <w:color w:val="000000" w:themeColor="text1"/>
        </w:rPr>
        <w:t xml:space="preserve"> four categories are likely to be politically sensitive and will require careful thought and discussion of options with Members.</w:t>
      </w:r>
      <w:r w:rsidR="005B0CEF">
        <w:rPr>
          <w:color w:val="000000" w:themeColor="text1"/>
        </w:rPr>
        <w:t xml:space="preserve"> Any decision on charges for these groups should be applied consistently in all areas</w:t>
      </w:r>
      <w:r>
        <w:rPr>
          <w:color w:val="000000" w:themeColor="text1"/>
        </w:rPr>
        <w:t xml:space="preserve"> to ensure equity and transparency</w:t>
      </w:r>
      <w:r w:rsidRPr="00AB0AE9">
        <w:rPr>
          <w:color w:val="000000" w:themeColor="text1"/>
        </w:rPr>
        <w:t xml:space="preserve"> </w:t>
      </w:r>
      <w:r w:rsidR="005B0CEF">
        <w:rPr>
          <w:color w:val="000000" w:themeColor="text1"/>
        </w:rPr>
        <w:t>across Highland.</w:t>
      </w:r>
    </w:p>
    <w:p w:rsidR="00813F15" w:rsidRDefault="00813F15" w:rsidP="00813F15"/>
    <w:p w:rsidR="00813F15" w:rsidRPr="00813F15" w:rsidRDefault="00813F15" w:rsidP="00813F15">
      <w:pPr>
        <w:rPr>
          <w:b/>
        </w:rPr>
      </w:pPr>
      <w:r>
        <w:rPr>
          <w:b/>
        </w:rPr>
        <w:t>5.2</w:t>
      </w:r>
      <w:r>
        <w:rPr>
          <w:b/>
        </w:rPr>
        <w:tab/>
      </w:r>
      <w:r w:rsidR="00AC509D">
        <w:rPr>
          <w:b/>
        </w:rPr>
        <w:t>Financial I</w:t>
      </w:r>
      <w:r w:rsidRPr="00813F15">
        <w:rPr>
          <w:b/>
        </w:rPr>
        <w:t>mplication</w:t>
      </w:r>
      <w:r w:rsidR="00AC509D">
        <w:rPr>
          <w:b/>
        </w:rPr>
        <w:t>s</w:t>
      </w:r>
    </w:p>
    <w:p w:rsidR="00813F15" w:rsidRDefault="00813F15" w:rsidP="00813F15"/>
    <w:p w:rsidR="00CA7040" w:rsidRDefault="00B44DD1" w:rsidP="00813F15">
      <w:r>
        <w:t>The graph</w:t>
      </w:r>
      <w:r w:rsidR="00813F15">
        <w:t xml:space="preserve"> below shows the potential income lost by not charging for uniformed groups, Community Councils and Feisean, assuming no reduction in lets volumes. </w:t>
      </w:r>
      <w:r w:rsidR="00813F15">
        <w:lastRenderedPageBreak/>
        <w:t xml:space="preserve">However a comparison of lets in the first half of FY16/17 with the first half of </w:t>
      </w:r>
      <w:r w:rsidR="00AC509D">
        <w:t>FY17/18 (</w:t>
      </w:r>
      <w:r w:rsidR="00813F15">
        <w:t>following a 10% increase in lets charges</w:t>
      </w:r>
      <w:r w:rsidR="00AC509D">
        <w:t>)</w:t>
      </w:r>
      <w:r w:rsidR="00813F15">
        <w:t xml:space="preserve"> reveals a 25% reduction in the number of lets and a 16% reduction in income. It is likely that introducing charges for free lets will have at least a similar impact. </w:t>
      </w:r>
    </w:p>
    <w:p w:rsidR="00CA7040" w:rsidRDefault="00CA7040" w:rsidP="00813F15"/>
    <w:p w:rsidR="00CA7040" w:rsidRPr="00CA7040" w:rsidRDefault="00CA7040" w:rsidP="00CA7040">
      <w:r w:rsidRPr="00CA7040">
        <w:rPr>
          <w:noProof/>
          <w:lang w:eastAsia="en-GB"/>
        </w:rPr>
        <w:drawing>
          <wp:inline distT="0" distB="0" distL="0" distR="0" wp14:anchorId="328E53D1" wp14:editId="193245BB">
            <wp:extent cx="4089197" cy="2662732"/>
            <wp:effectExtent l="0" t="0" r="26035" b="2349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7040" w:rsidRDefault="00CA7040" w:rsidP="00813F15"/>
    <w:p w:rsidR="00813F15" w:rsidRDefault="00813F15" w:rsidP="00813F15">
      <w:r>
        <w:t xml:space="preserve">The table below contains three scenarios: 16%, 25% and (worst case?) 50% reductions in income. </w:t>
      </w:r>
    </w:p>
    <w:p w:rsidR="00813F15" w:rsidRDefault="00813F15" w:rsidP="00813F15"/>
    <w:tbl>
      <w:tblPr>
        <w:tblStyle w:val="TableGrid"/>
        <w:tblW w:w="0" w:type="auto"/>
        <w:tblLayout w:type="fixed"/>
        <w:tblLook w:val="04A0" w:firstRow="1" w:lastRow="0" w:firstColumn="1" w:lastColumn="0" w:noHBand="0" w:noVBand="1"/>
      </w:tblPr>
      <w:tblGrid>
        <w:gridCol w:w="2718"/>
        <w:gridCol w:w="1210"/>
        <w:gridCol w:w="1211"/>
        <w:gridCol w:w="1210"/>
        <w:gridCol w:w="1211"/>
      </w:tblGrid>
      <w:tr w:rsidR="00813F15" w:rsidRPr="005F2040" w:rsidTr="005F2040">
        <w:trPr>
          <w:trHeight w:val="422"/>
        </w:trPr>
        <w:tc>
          <w:tcPr>
            <w:tcW w:w="2718" w:type="dxa"/>
            <w:tcBorders>
              <w:bottom w:val="single" w:sz="4" w:space="0" w:color="auto"/>
            </w:tcBorders>
            <w:noWrap/>
            <w:hideMark/>
          </w:tcPr>
          <w:p w:rsidR="00813F15" w:rsidRPr="005F2040" w:rsidRDefault="00813F15" w:rsidP="005F2040">
            <w:pPr>
              <w:spacing w:line="276" w:lineRule="auto"/>
              <w:rPr>
                <w:b/>
                <w:sz w:val="20"/>
              </w:rPr>
            </w:pPr>
            <w:r w:rsidRPr="005F2040">
              <w:rPr>
                <w:b/>
                <w:sz w:val="20"/>
              </w:rPr>
              <w:t>Free lets (18/19 rates)</w:t>
            </w:r>
          </w:p>
        </w:tc>
        <w:tc>
          <w:tcPr>
            <w:tcW w:w="1210" w:type="dxa"/>
            <w:tcBorders>
              <w:bottom w:val="single" w:sz="4" w:space="0" w:color="auto"/>
            </w:tcBorders>
            <w:noWrap/>
            <w:hideMark/>
          </w:tcPr>
          <w:p w:rsidR="00813F15" w:rsidRPr="005F2040" w:rsidRDefault="00813F15" w:rsidP="005F2040">
            <w:pPr>
              <w:spacing w:line="276" w:lineRule="auto"/>
              <w:rPr>
                <w:b/>
                <w:sz w:val="20"/>
              </w:rPr>
            </w:pPr>
            <w:r w:rsidRPr="005F2040">
              <w:rPr>
                <w:b/>
                <w:sz w:val="20"/>
              </w:rPr>
              <w:t>No reduction</w:t>
            </w:r>
          </w:p>
        </w:tc>
        <w:tc>
          <w:tcPr>
            <w:tcW w:w="1211" w:type="dxa"/>
            <w:tcBorders>
              <w:bottom w:val="single" w:sz="4" w:space="0" w:color="auto"/>
            </w:tcBorders>
            <w:hideMark/>
          </w:tcPr>
          <w:p w:rsidR="00813F15" w:rsidRPr="005F2040" w:rsidRDefault="00813F15" w:rsidP="005F2040">
            <w:pPr>
              <w:spacing w:line="276" w:lineRule="auto"/>
              <w:rPr>
                <w:b/>
                <w:sz w:val="20"/>
              </w:rPr>
            </w:pPr>
            <w:r w:rsidRPr="005F2040">
              <w:rPr>
                <w:b/>
                <w:sz w:val="20"/>
              </w:rPr>
              <w:t>16% reduction</w:t>
            </w:r>
          </w:p>
        </w:tc>
        <w:tc>
          <w:tcPr>
            <w:tcW w:w="1210" w:type="dxa"/>
            <w:tcBorders>
              <w:bottom w:val="single" w:sz="4" w:space="0" w:color="auto"/>
            </w:tcBorders>
            <w:hideMark/>
          </w:tcPr>
          <w:p w:rsidR="00813F15" w:rsidRPr="005F2040" w:rsidRDefault="00813F15" w:rsidP="005F2040">
            <w:pPr>
              <w:spacing w:line="276" w:lineRule="auto"/>
              <w:rPr>
                <w:b/>
                <w:sz w:val="20"/>
              </w:rPr>
            </w:pPr>
            <w:r w:rsidRPr="005F2040">
              <w:rPr>
                <w:b/>
                <w:sz w:val="20"/>
              </w:rPr>
              <w:t>25% reduction</w:t>
            </w:r>
          </w:p>
        </w:tc>
        <w:tc>
          <w:tcPr>
            <w:tcW w:w="1211" w:type="dxa"/>
            <w:tcBorders>
              <w:bottom w:val="single" w:sz="4" w:space="0" w:color="auto"/>
            </w:tcBorders>
            <w:hideMark/>
          </w:tcPr>
          <w:p w:rsidR="00813F15" w:rsidRPr="005F2040" w:rsidRDefault="00813F15" w:rsidP="005F2040">
            <w:pPr>
              <w:spacing w:line="276" w:lineRule="auto"/>
              <w:rPr>
                <w:b/>
                <w:sz w:val="20"/>
              </w:rPr>
            </w:pPr>
            <w:r w:rsidRPr="005F2040">
              <w:rPr>
                <w:b/>
                <w:sz w:val="20"/>
              </w:rPr>
              <w:t>50% reduction</w:t>
            </w:r>
          </w:p>
        </w:tc>
      </w:tr>
      <w:tr w:rsidR="00813F15" w:rsidRPr="0002181E" w:rsidTr="005F2040">
        <w:trPr>
          <w:trHeight w:val="300"/>
        </w:trPr>
        <w:tc>
          <w:tcPr>
            <w:tcW w:w="2718" w:type="dxa"/>
            <w:tcBorders>
              <w:bottom w:val="single" w:sz="4" w:space="0" w:color="auto"/>
            </w:tcBorders>
            <w:noWrap/>
            <w:vAlign w:val="center"/>
            <w:hideMark/>
          </w:tcPr>
          <w:p w:rsidR="00813F15" w:rsidRPr="0002181E" w:rsidRDefault="00813F15" w:rsidP="005F2040">
            <w:pPr>
              <w:spacing w:line="276" w:lineRule="auto"/>
              <w:rPr>
                <w:sz w:val="20"/>
              </w:rPr>
            </w:pPr>
            <w:r w:rsidRPr="0002181E">
              <w:rPr>
                <w:sz w:val="20"/>
              </w:rPr>
              <w:t>Uniformed Groups</w:t>
            </w:r>
          </w:p>
        </w:tc>
        <w:tc>
          <w:tcPr>
            <w:tcW w:w="1210" w:type="dxa"/>
            <w:tcBorders>
              <w:bottom w:val="single" w:sz="4" w:space="0" w:color="auto"/>
            </w:tcBorders>
            <w:noWrap/>
            <w:vAlign w:val="center"/>
            <w:hideMark/>
          </w:tcPr>
          <w:p w:rsidR="00813F15" w:rsidRDefault="00813F15" w:rsidP="005F2040">
            <w:pPr>
              <w:spacing w:line="276" w:lineRule="auto"/>
              <w:jc w:val="right"/>
              <w:rPr>
                <w:color w:val="000000"/>
                <w:sz w:val="20"/>
                <w:szCs w:val="20"/>
              </w:rPr>
            </w:pPr>
            <w:r>
              <w:rPr>
                <w:color w:val="000000"/>
                <w:sz w:val="20"/>
                <w:szCs w:val="20"/>
              </w:rPr>
              <w:t>£28,026</w:t>
            </w:r>
          </w:p>
        </w:tc>
        <w:tc>
          <w:tcPr>
            <w:tcW w:w="1211" w:type="dxa"/>
            <w:tcBorders>
              <w:bottom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£23,542</w:t>
            </w:r>
          </w:p>
        </w:tc>
        <w:tc>
          <w:tcPr>
            <w:tcW w:w="1210" w:type="dxa"/>
            <w:tcBorders>
              <w:bottom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£21,020</w:t>
            </w:r>
          </w:p>
        </w:tc>
        <w:tc>
          <w:tcPr>
            <w:tcW w:w="1211" w:type="dxa"/>
            <w:tcBorders>
              <w:bottom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£14,013</w:t>
            </w:r>
          </w:p>
        </w:tc>
      </w:tr>
      <w:tr w:rsidR="00813F15" w:rsidRPr="0002181E" w:rsidTr="005F2040">
        <w:trPr>
          <w:trHeight w:val="300"/>
        </w:trPr>
        <w:tc>
          <w:tcPr>
            <w:tcW w:w="2718" w:type="dxa"/>
            <w:tcBorders>
              <w:top w:val="single" w:sz="4" w:space="0" w:color="auto"/>
              <w:bottom w:val="single" w:sz="4" w:space="0" w:color="auto"/>
            </w:tcBorders>
            <w:noWrap/>
            <w:vAlign w:val="center"/>
            <w:hideMark/>
          </w:tcPr>
          <w:p w:rsidR="00813F15" w:rsidRPr="0002181E" w:rsidRDefault="00813F15" w:rsidP="005F2040">
            <w:pPr>
              <w:spacing w:line="276" w:lineRule="auto"/>
              <w:rPr>
                <w:sz w:val="20"/>
              </w:rPr>
            </w:pPr>
            <w:r w:rsidRPr="0002181E">
              <w:rPr>
                <w:sz w:val="20"/>
              </w:rPr>
              <w:t>Community Councils</w:t>
            </w:r>
          </w:p>
        </w:tc>
        <w:tc>
          <w:tcPr>
            <w:tcW w:w="1210" w:type="dxa"/>
            <w:tcBorders>
              <w:top w:val="single" w:sz="4" w:space="0" w:color="auto"/>
              <w:bottom w:val="single" w:sz="4" w:space="0" w:color="auto"/>
            </w:tcBorders>
            <w:noWrap/>
            <w:vAlign w:val="center"/>
            <w:hideMark/>
          </w:tcPr>
          <w:p w:rsidR="00813F15" w:rsidRDefault="00813F15" w:rsidP="005F2040">
            <w:pPr>
              <w:spacing w:line="276" w:lineRule="auto"/>
              <w:jc w:val="right"/>
              <w:rPr>
                <w:color w:val="000000"/>
                <w:sz w:val="20"/>
                <w:szCs w:val="20"/>
              </w:rPr>
            </w:pPr>
            <w:r>
              <w:rPr>
                <w:color w:val="000000"/>
                <w:sz w:val="20"/>
                <w:szCs w:val="20"/>
              </w:rPr>
              <w:t>£1,901</w:t>
            </w:r>
          </w:p>
        </w:tc>
        <w:tc>
          <w:tcPr>
            <w:tcW w:w="1211" w:type="dxa"/>
            <w:tcBorders>
              <w:top w:val="single" w:sz="4" w:space="0" w:color="auto"/>
              <w:bottom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£1,597</w:t>
            </w:r>
          </w:p>
        </w:tc>
        <w:tc>
          <w:tcPr>
            <w:tcW w:w="1210" w:type="dxa"/>
            <w:tcBorders>
              <w:top w:val="single" w:sz="4" w:space="0" w:color="auto"/>
              <w:bottom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£1,426</w:t>
            </w:r>
          </w:p>
        </w:tc>
        <w:tc>
          <w:tcPr>
            <w:tcW w:w="1211" w:type="dxa"/>
            <w:tcBorders>
              <w:top w:val="single" w:sz="4" w:space="0" w:color="auto"/>
              <w:bottom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£951</w:t>
            </w:r>
          </w:p>
        </w:tc>
      </w:tr>
      <w:tr w:rsidR="00813F15" w:rsidRPr="0002181E" w:rsidTr="005F2040">
        <w:trPr>
          <w:trHeight w:val="300"/>
        </w:trPr>
        <w:tc>
          <w:tcPr>
            <w:tcW w:w="2718" w:type="dxa"/>
            <w:tcBorders>
              <w:top w:val="single" w:sz="4" w:space="0" w:color="auto"/>
            </w:tcBorders>
            <w:noWrap/>
            <w:vAlign w:val="center"/>
            <w:hideMark/>
          </w:tcPr>
          <w:p w:rsidR="00813F15" w:rsidRPr="0002181E" w:rsidRDefault="00813F15" w:rsidP="005F2040">
            <w:pPr>
              <w:spacing w:line="276" w:lineRule="auto"/>
              <w:rPr>
                <w:sz w:val="20"/>
              </w:rPr>
            </w:pPr>
            <w:r w:rsidRPr="0002181E">
              <w:rPr>
                <w:sz w:val="20"/>
              </w:rPr>
              <w:t>Feisean (net additional)</w:t>
            </w:r>
          </w:p>
        </w:tc>
        <w:tc>
          <w:tcPr>
            <w:tcW w:w="1210" w:type="dxa"/>
            <w:tcBorders>
              <w:top w:val="single" w:sz="4" w:space="0" w:color="auto"/>
              <w:bottom w:val="single" w:sz="4" w:space="0" w:color="auto"/>
            </w:tcBorders>
            <w:noWrap/>
            <w:vAlign w:val="center"/>
            <w:hideMark/>
          </w:tcPr>
          <w:p w:rsidR="00813F15" w:rsidRDefault="00813F15" w:rsidP="005F2040">
            <w:pPr>
              <w:spacing w:line="276" w:lineRule="auto"/>
              <w:jc w:val="right"/>
              <w:rPr>
                <w:color w:val="000000"/>
                <w:sz w:val="20"/>
                <w:szCs w:val="20"/>
              </w:rPr>
            </w:pPr>
            <w:r>
              <w:rPr>
                <w:color w:val="000000"/>
                <w:sz w:val="20"/>
                <w:szCs w:val="20"/>
              </w:rPr>
              <w:t>£10,574</w:t>
            </w:r>
          </w:p>
        </w:tc>
        <w:tc>
          <w:tcPr>
            <w:tcW w:w="1211" w:type="dxa"/>
            <w:tcBorders>
              <w:top w:val="single" w:sz="4" w:space="0" w:color="auto"/>
              <w:bottom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£8,882</w:t>
            </w:r>
          </w:p>
        </w:tc>
        <w:tc>
          <w:tcPr>
            <w:tcW w:w="1210" w:type="dxa"/>
            <w:tcBorders>
              <w:top w:val="single" w:sz="4" w:space="0" w:color="auto"/>
              <w:bottom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£7,931</w:t>
            </w:r>
          </w:p>
        </w:tc>
        <w:tc>
          <w:tcPr>
            <w:tcW w:w="1211" w:type="dxa"/>
            <w:tcBorders>
              <w:top w:val="single" w:sz="4" w:space="0" w:color="auto"/>
              <w:bottom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£5,287</w:t>
            </w:r>
          </w:p>
        </w:tc>
      </w:tr>
      <w:tr w:rsidR="00813F15" w:rsidRPr="0002181E" w:rsidTr="000C66B4">
        <w:trPr>
          <w:trHeight w:val="300"/>
        </w:trPr>
        <w:tc>
          <w:tcPr>
            <w:tcW w:w="2718" w:type="dxa"/>
            <w:noWrap/>
            <w:vAlign w:val="center"/>
            <w:hideMark/>
          </w:tcPr>
          <w:p w:rsidR="00813F15" w:rsidRPr="0002181E" w:rsidRDefault="00813F15" w:rsidP="005F2040">
            <w:pPr>
              <w:spacing w:line="276" w:lineRule="auto"/>
              <w:rPr>
                <w:b/>
                <w:bCs/>
                <w:sz w:val="20"/>
              </w:rPr>
            </w:pPr>
            <w:r w:rsidRPr="0002181E">
              <w:rPr>
                <w:b/>
                <w:bCs/>
                <w:sz w:val="20"/>
              </w:rPr>
              <w:t>Total</w:t>
            </w:r>
          </w:p>
        </w:tc>
        <w:tc>
          <w:tcPr>
            <w:tcW w:w="1210" w:type="dxa"/>
            <w:tcBorders>
              <w:top w:val="single" w:sz="4" w:space="0" w:color="auto"/>
            </w:tcBorders>
            <w:noWrap/>
            <w:vAlign w:val="center"/>
            <w:hideMark/>
          </w:tcPr>
          <w:p w:rsidR="00813F15" w:rsidRDefault="00813F15" w:rsidP="005F2040">
            <w:pPr>
              <w:spacing w:line="276" w:lineRule="auto"/>
              <w:jc w:val="right"/>
              <w:rPr>
                <w:color w:val="000000"/>
                <w:sz w:val="20"/>
                <w:szCs w:val="20"/>
              </w:rPr>
            </w:pPr>
            <w:r>
              <w:rPr>
                <w:color w:val="000000"/>
                <w:sz w:val="20"/>
                <w:szCs w:val="20"/>
              </w:rPr>
              <w:t>£40,501</w:t>
            </w:r>
          </w:p>
        </w:tc>
        <w:tc>
          <w:tcPr>
            <w:tcW w:w="1211" w:type="dxa"/>
            <w:tcBorders>
              <w:top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£34,021</w:t>
            </w:r>
          </w:p>
        </w:tc>
        <w:tc>
          <w:tcPr>
            <w:tcW w:w="1210" w:type="dxa"/>
            <w:tcBorders>
              <w:top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£30,376</w:t>
            </w:r>
          </w:p>
        </w:tc>
        <w:tc>
          <w:tcPr>
            <w:tcW w:w="1211" w:type="dxa"/>
            <w:tcBorders>
              <w:top w:val="single" w:sz="4" w:space="0" w:color="auto"/>
            </w:tcBorders>
            <w:vAlign w:val="center"/>
            <w:hideMark/>
          </w:tcPr>
          <w:p w:rsidR="00813F15" w:rsidRDefault="00813F15" w:rsidP="005F2040">
            <w:pPr>
              <w:spacing w:line="276" w:lineRule="auto"/>
              <w:jc w:val="right"/>
              <w:rPr>
                <w:color w:val="000000"/>
                <w:sz w:val="20"/>
                <w:szCs w:val="20"/>
              </w:rPr>
            </w:pPr>
            <w:r>
              <w:rPr>
                <w:color w:val="000000"/>
                <w:sz w:val="20"/>
                <w:szCs w:val="20"/>
              </w:rPr>
              <w:t>£20,251</w:t>
            </w:r>
          </w:p>
        </w:tc>
      </w:tr>
    </w:tbl>
    <w:p w:rsidR="00813F15" w:rsidRDefault="00813F15" w:rsidP="00813F15">
      <w:pPr>
        <w:tabs>
          <w:tab w:val="left" w:pos="6417"/>
        </w:tabs>
      </w:pPr>
      <w:r>
        <w:tab/>
      </w:r>
    </w:p>
    <w:p w:rsidR="00813F15" w:rsidRDefault="00813F15" w:rsidP="00813F15">
      <w:r>
        <w:t>The proposal to phase out free lets, last made in August 2014, was deferred subject to the deliberations of a proposed Member Working Group, however this group was never established, hence the</w:t>
      </w:r>
      <w:r w:rsidR="00AC509D">
        <w:t xml:space="preserve"> referral to Redesign Board and the</w:t>
      </w:r>
      <w:r>
        <w:t xml:space="preserve"> inclusion </w:t>
      </w:r>
      <w:r w:rsidR="00AC509D">
        <w:t>of the issue in this report</w:t>
      </w:r>
      <w:r>
        <w:t xml:space="preserve">. The conclusion of the Lets Project Board is that free lets should cease from 1 April 2018 for all groups except school lets, HC and HLH lets as outlined above and to defer decision on childcare until the picture is clearer. </w:t>
      </w:r>
    </w:p>
    <w:p w:rsidR="00AB0AE9" w:rsidRDefault="00AB0AE9" w:rsidP="004F2398"/>
    <w:p w:rsidR="00236E56" w:rsidRDefault="001B731E" w:rsidP="002C7401">
      <w:pPr>
        <w:rPr>
          <w:b/>
        </w:rPr>
      </w:pPr>
      <w:r>
        <w:rPr>
          <w:b/>
        </w:rPr>
        <w:t>6</w:t>
      </w:r>
      <w:r w:rsidR="008F35FE">
        <w:rPr>
          <w:b/>
        </w:rPr>
        <w:tab/>
        <w:t>Options for Future Price R</w:t>
      </w:r>
      <w:r w:rsidR="00236E56">
        <w:rPr>
          <w:b/>
        </w:rPr>
        <w:t>ises</w:t>
      </w:r>
    </w:p>
    <w:p w:rsidR="00236E56" w:rsidRDefault="00236E56" w:rsidP="00236E56"/>
    <w:p w:rsidR="0049232B" w:rsidRPr="0049232B" w:rsidRDefault="0049232B" w:rsidP="00236E56">
      <w:pPr>
        <w:rPr>
          <w:b/>
        </w:rPr>
      </w:pPr>
      <w:r w:rsidRPr="0049232B">
        <w:rPr>
          <w:b/>
        </w:rPr>
        <w:t xml:space="preserve">6.1 </w:t>
      </w:r>
      <w:r w:rsidRPr="0049232B">
        <w:rPr>
          <w:b/>
        </w:rPr>
        <w:tab/>
        <w:t>Options</w:t>
      </w:r>
    </w:p>
    <w:p w:rsidR="0049232B" w:rsidRDefault="0049232B" w:rsidP="00236E56"/>
    <w:p w:rsidR="00236E56" w:rsidRDefault="00AB0AE9" w:rsidP="00236E56">
      <w:r>
        <w:t>Four</w:t>
      </w:r>
      <w:r w:rsidR="00236E56">
        <w:t xml:space="preserve"> options for future pricing</w:t>
      </w:r>
      <w:r w:rsidR="00F971AA">
        <w:t xml:space="preserve"> are presented:</w:t>
      </w:r>
    </w:p>
    <w:p w:rsidR="0049232B" w:rsidRPr="00AB0AE9" w:rsidRDefault="00F536D0" w:rsidP="00D7364C">
      <w:pPr>
        <w:pStyle w:val="ListParagraph"/>
        <w:numPr>
          <w:ilvl w:val="0"/>
          <w:numId w:val="39"/>
        </w:numPr>
        <w:rPr>
          <w:color w:val="000000" w:themeColor="text1"/>
        </w:rPr>
      </w:pPr>
      <w:r w:rsidRPr="00AB0AE9">
        <w:rPr>
          <w:color w:val="000000" w:themeColor="text1"/>
        </w:rPr>
        <w:t>Offer lets in PPP schools only</w:t>
      </w:r>
      <w:r w:rsidR="00AB0AE9" w:rsidRPr="00AB0AE9">
        <w:rPr>
          <w:color w:val="000000" w:themeColor="text1"/>
        </w:rPr>
        <w:t xml:space="preserve"> </w:t>
      </w:r>
      <w:r w:rsidR="003F3D05">
        <w:rPr>
          <w:color w:val="000000" w:themeColor="text1"/>
        </w:rPr>
        <w:t xml:space="preserve">(alongside HLH provision) </w:t>
      </w:r>
    </w:p>
    <w:p w:rsidR="00236E56" w:rsidRPr="00AB0AE9" w:rsidRDefault="00236E56" w:rsidP="00D7364C">
      <w:pPr>
        <w:pStyle w:val="ListParagraph"/>
        <w:numPr>
          <w:ilvl w:val="0"/>
          <w:numId w:val="39"/>
        </w:numPr>
        <w:rPr>
          <w:color w:val="000000" w:themeColor="text1"/>
        </w:rPr>
      </w:pPr>
      <w:r w:rsidRPr="00AB0AE9">
        <w:rPr>
          <w:color w:val="000000" w:themeColor="text1"/>
        </w:rPr>
        <w:t xml:space="preserve">Restore HC prices to 2009 policy (adjusted for inflation) including retaining bands and discounts, applying year on year increases of 5% </w:t>
      </w:r>
      <w:r w:rsidR="003F3D05">
        <w:rPr>
          <w:color w:val="000000" w:themeColor="text1"/>
        </w:rPr>
        <w:t>to 22/23</w:t>
      </w:r>
    </w:p>
    <w:p w:rsidR="00236E56" w:rsidRPr="00AB0AE9" w:rsidRDefault="00236E56" w:rsidP="00D7364C">
      <w:pPr>
        <w:pStyle w:val="ListParagraph"/>
        <w:numPr>
          <w:ilvl w:val="0"/>
          <w:numId w:val="39"/>
        </w:numPr>
        <w:rPr>
          <w:color w:val="000000" w:themeColor="text1"/>
        </w:rPr>
      </w:pPr>
      <w:r w:rsidRPr="00AB0AE9">
        <w:rPr>
          <w:color w:val="000000" w:themeColor="text1"/>
        </w:rPr>
        <w:lastRenderedPageBreak/>
        <w:t xml:space="preserve">Restore HC prices to 2009 policy (adjusted for inflation) including retaining bands and discounts, applying year on year increases of 10% </w:t>
      </w:r>
      <w:r w:rsidR="003F3D05">
        <w:rPr>
          <w:color w:val="000000" w:themeColor="text1"/>
        </w:rPr>
        <w:t>to 22/23</w:t>
      </w:r>
    </w:p>
    <w:p w:rsidR="0049232B" w:rsidRPr="00AB0AE9" w:rsidRDefault="0049232B" w:rsidP="00D7364C">
      <w:pPr>
        <w:pStyle w:val="ListParagraph"/>
        <w:numPr>
          <w:ilvl w:val="0"/>
          <w:numId w:val="39"/>
        </w:numPr>
        <w:rPr>
          <w:color w:val="000000" w:themeColor="text1"/>
        </w:rPr>
      </w:pPr>
      <w:r w:rsidRPr="00AB0AE9">
        <w:rPr>
          <w:color w:val="000000" w:themeColor="text1"/>
        </w:rPr>
        <w:t>Incre</w:t>
      </w:r>
      <w:r w:rsidR="00AB0AE9">
        <w:rPr>
          <w:color w:val="000000" w:themeColor="text1"/>
        </w:rPr>
        <w:t>a</w:t>
      </w:r>
      <w:r w:rsidRPr="00AB0AE9">
        <w:rPr>
          <w:color w:val="000000" w:themeColor="text1"/>
        </w:rPr>
        <w:t>se prices to meet savings target in 18/19 from income</w:t>
      </w:r>
      <w:r w:rsidR="00AB0AE9">
        <w:rPr>
          <w:color w:val="000000" w:themeColor="text1"/>
        </w:rPr>
        <w:t xml:space="preserve">, and </w:t>
      </w:r>
      <w:r w:rsidR="003F3D05">
        <w:rPr>
          <w:color w:val="000000" w:themeColor="text1"/>
        </w:rPr>
        <w:t>thereafter</w:t>
      </w:r>
      <w:r w:rsidR="00AB0AE9">
        <w:rPr>
          <w:color w:val="000000" w:themeColor="text1"/>
        </w:rPr>
        <w:t xml:space="preserve"> increase by 10% per year</w:t>
      </w:r>
      <w:r w:rsidR="003F3D05">
        <w:rPr>
          <w:color w:val="000000" w:themeColor="text1"/>
        </w:rPr>
        <w:t xml:space="preserve"> to 22/23</w:t>
      </w:r>
    </w:p>
    <w:p w:rsidR="00236E56" w:rsidRDefault="00236E56" w:rsidP="00236E56"/>
    <w:p w:rsidR="0049232B" w:rsidRPr="00AB0AE9" w:rsidRDefault="00D0389F" w:rsidP="00236E56">
      <w:pPr>
        <w:rPr>
          <w:u w:val="single"/>
        </w:rPr>
      </w:pPr>
      <w:r>
        <w:rPr>
          <w:u w:val="single"/>
        </w:rPr>
        <w:t>Option 1</w:t>
      </w:r>
    </w:p>
    <w:p w:rsidR="002A5167" w:rsidRDefault="00F536D0" w:rsidP="00236E56">
      <w:r>
        <w:t xml:space="preserve">This option would only offer lets in PPP schools using contracted </w:t>
      </w:r>
      <w:r w:rsidR="003F3D05">
        <w:t>flexible use hours (i.e. evening, weekend and holidays)</w:t>
      </w:r>
      <w:r>
        <w:t xml:space="preserve">, in effect incurring no </w:t>
      </w:r>
      <w:r w:rsidR="005324F4">
        <w:t>facilitation costs, the onl</w:t>
      </w:r>
      <w:r>
        <w:t xml:space="preserve">y </w:t>
      </w:r>
      <w:r w:rsidR="005324F4">
        <w:t>cost</w:t>
      </w:r>
      <w:r>
        <w:t xml:space="preserve"> being booking </w:t>
      </w:r>
      <w:r w:rsidR="00401EB1">
        <w:t>adm</w:t>
      </w:r>
      <w:r w:rsidR="002A5167">
        <w:t xml:space="preserve">inistration. Furthermore, if lets were limited to 12,000 hours the Council could renegotiate the additional 3,000 PPP2 hours achieving a PPP budget reduction of £90,000. All income (apart from minimal administration) would be surplus. </w:t>
      </w:r>
      <w:r w:rsidR="00D92717">
        <w:t>Prices are assumed to rise at 5% to 22/23 (maintain parity with school lets managed HLH</w:t>
      </w:r>
      <w:r w:rsidR="00332650">
        <w:t>).</w:t>
      </w:r>
    </w:p>
    <w:p w:rsidR="002A5167" w:rsidRDefault="002A5167" w:rsidP="00236E56"/>
    <w:p w:rsidR="002A5167" w:rsidRDefault="002A5167" w:rsidP="00236E56">
      <w:r>
        <w:t>Under this option,</w:t>
      </w:r>
      <w:r w:rsidR="009A0CA6">
        <w:t xml:space="preserve"> the current 4,895 evening and weekend lets (16/17 income £90,664) in other schools</w:t>
      </w:r>
      <w:r>
        <w:t xml:space="preserve"> would cease</w:t>
      </w:r>
      <w:r w:rsidR="00776B61">
        <w:t>.</w:t>
      </w:r>
      <w:r w:rsidR="009A0CA6">
        <w:t xml:space="preserve"> School lets</w:t>
      </w:r>
      <w:r>
        <w:t xml:space="preserve"> (as defined above)</w:t>
      </w:r>
      <w:r w:rsidR="009A0CA6">
        <w:t xml:space="preserve"> </w:t>
      </w:r>
      <w:r>
        <w:t xml:space="preserve">held </w:t>
      </w:r>
      <w:r w:rsidR="009A0CA6">
        <w:t xml:space="preserve">immediately after school (typically finishing before 6pm) would continue and there would be the facility for occasional school evening lets (e.g. </w:t>
      </w:r>
      <w:r>
        <w:t>par</w:t>
      </w:r>
      <w:r w:rsidR="009A0CA6">
        <w:t>ent evenings, school concerts)</w:t>
      </w:r>
      <w:r>
        <w:t>. There would need to be consideration whether to accommodate a small number of non-school lets that offer after school activities in some schools, mostly in the Inverness area.</w:t>
      </w:r>
    </w:p>
    <w:p w:rsidR="002A5167" w:rsidRDefault="002A5167" w:rsidP="00236E56"/>
    <w:p w:rsidR="002A5167" w:rsidRDefault="009A0CA6" w:rsidP="00236E56">
      <w:r>
        <w:t xml:space="preserve">HLH would continue to offer lets as per current arrangements in 21 schools. The map in Appendix 2 shows the location </w:t>
      </w:r>
      <w:r w:rsidR="002A5167">
        <w:t>of PPP schools and schools where (some or all) lets are managed by HLH (operated at no a</w:t>
      </w:r>
      <w:r w:rsidR="00776B61">
        <w:t xml:space="preserve">dditional cost to the Council). There would be no community access to Highland schools apart from those on the map. </w:t>
      </w:r>
    </w:p>
    <w:p w:rsidR="001F0593" w:rsidRDefault="001F0593" w:rsidP="00236E56"/>
    <w:p w:rsidR="00236E56" w:rsidRPr="00401EB1" w:rsidRDefault="002A5167" w:rsidP="00236E56">
      <w:pPr>
        <w:rPr>
          <w:u w:val="single"/>
        </w:rPr>
      </w:pPr>
      <w:r>
        <w:rPr>
          <w:u w:val="single"/>
        </w:rPr>
        <w:t>Option 2</w:t>
      </w:r>
    </w:p>
    <w:p w:rsidR="00236E56" w:rsidRPr="00401EB1" w:rsidRDefault="00291A36" w:rsidP="00236E56">
      <w:r>
        <w:t>Option 2</w:t>
      </w:r>
      <w:r w:rsidR="00236E56" w:rsidRPr="00401EB1">
        <w:t xml:space="preserve"> restores prices to the </w:t>
      </w:r>
      <w:r w:rsidR="005B6978" w:rsidRPr="00401EB1">
        <w:t xml:space="preserve">2009 policy, </w:t>
      </w:r>
      <w:r w:rsidR="00181CB8">
        <w:t>with proposed pricing amendments and the removal of free lets as outlined above, then ap</w:t>
      </w:r>
      <w:r w:rsidR="003F3D05">
        <w:t>plies 5% year on year increases to 22/23.</w:t>
      </w:r>
      <w:r w:rsidR="00181CB8">
        <w:t xml:space="preserve"> </w:t>
      </w:r>
      <w:r w:rsidR="00401EB1" w:rsidRPr="00401EB1">
        <w:t>This</w:t>
      </w:r>
      <w:r w:rsidR="005B6978" w:rsidRPr="00401EB1">
        <w:t xml:space="preserve"> means that there is consistent charging between schools and leisure facilities (now operated by HLH). HLH has applied 5% year on year price rises and indicates that this will continue for the foreseeable future</w:t>
      </w:r>
      <w:r w:rsidR="003F3D05">
        <w:t xml:space="preserve">. Option 2 </w:t>
      </w:r>
      <w:r w:rsidR="00401EB1" w:rsidRPr="00401EB1">
        <w:t>follows this future pricing model.</w:t>
      </w:r>
      <w:r w:rsidR="005B6978" w:rsidRPr="00401EB1">
        <w:t xml:space="preserve"> </w:t>
      </w:r>
    </w:p>
    <w:p w:rsidR="005F2040" w:rsidRDefault="005F2040" w:rsidP="002C7401">
      <w:pPr>
        <w:rPr>
          <w:u w:val="single"/>
        </w:rPr>
      </w:pPr>
    </w:p>
    <w:p w:rsidR="00D25416" w:rsidRPr="00401EB1" w:rsidRDefault="00291A36" w:rsidP="002C7401">
      <w:pPr>
        <w:rPr>
          <w:u w:val="single"/>
        </w:rPr>
      </w:pPr>
      <w:r>
        <w:rPr>
          <w:u w:val="single"/>
        </w:rPr>
        <w:t>Option 3</w:t>
      </w:r>
    </w:p>
    <w:p w:rsidR="00D25416" w:rsidRPr="00401EB1" w:rsidRDefault="00D25416" w:rsidP="002C7401">
      <w:r w:rsidRPr="00401EB1">
        <w:t>This option restor</w:t>
      </w:r>
      <w:r w:rsidR="00375E73" w:rsidRPr="00401EB1">
        <w:t>es prices to 2009 policy prices</w:t>
      </w:r>
      <w:r w:rsidRPr="00401EB1">
        <w:t xml:space="preserve">, </w:t>
      </w:r>
      <w:r w:rsidR="00181CB8">
        <w:t>with proposed</w:t>
      </w:r>
      <w:r w:rsidR="00401EB1">
        <w:t xml:space="preserve"> amendments</w:t>
      </w:r>
      <w:r w:rsidR="00181CB8">
        <w:t xml:space="preserve"> and removal of free lets </w:t>
      </w:r>
      <w:r w:rsidR="00401EB1">
        <w:t xml:space="preserve">as outlined above, </w:t>
      </w:r>
      <w:r w:rsidRPr="00401EB1">
        <w:t xml:space="preserve">but then increases prices at 10% (current Council default </w:t>
      </w:r>
      <w:r w:rsidR="00C75BF3" w:rsidRPr="00401EB1">
        <w:t>price</w:t>
      </w:r>
      <w:r w:rsidRPr="00401EB1">
        <w:t xml:space="preserve"> increase</w:t>
      </w:r>
      <w:r w:rsidR="00C75BF3" w:rsidRPr="00401EB1">
        <w:t>)</w:t>
      </w:r>
      <w:r w:rsidR="003F3D05">
        <w:t xml:space="preserve"> to 22/23.</w:t>
      </w:r>
      <w:r w:rsidR="00332650">
        <w:t xml:space="preserve"> Parity between school and leisure centre pricing would be lost, with HC prices steadily getting</w:t>
      </w:r>
      <w:r w:rsidR="00D92717">
        <w:t xml:space="preserve"> comparatively</w:t>
      </w:r>
      <w:r w:rsidR="00332650">
        <w:t xml:space="preserve"> more expensive.</w:t>
      </w:r>
    </w:p>
    <w:p w:rsidR="00D25416" w:rsidRPr="00C75BF3" w:rsidRDefault="00D25416" w:rsidP="002C7401">
      <w:pPr>
        <w:rPr>
          <w:b/>
          <w:color w:val="FF0000"/>
        </w:rPr>
      </w:pPr>
    </w:p>
    <w:p w:rsidR="00C75BF3" w:rsidRPr="00401EB1" w:rsidRDefault="00291A36" w:rsidP="002C7401">
      <w:pPr>
        <w:rPr>
          <w:u w:val="single"/>
        </w:rPr>
      </w:pPr>
      <w:r>
        <w:rPr>
          <w:u w:val="single"/>
        </w:rPr>
        <w:t>Option 4</w:t>
      </w:r>
    </w:p>
    <w:p w:rsidR="00F971AA" w:rsidRDefault="00401EB1" w:rsidP="00800EB7">
      <w:r w:rsidRPr="00401EB1">
        <w:t>This option</w:t>
      </w:r>
      <w:r w:rsidR="00181CB8">
        <w:t xml:space="preserve"> introduces the amendment</w:t>
      </w:r>
      <w:r w:rsidR="00FC27AD">
        <w:t>s</w:t>
      </w:r>
      <w:r w:rsidR="00181CB8">
        <w:t xml:space="preserve"> to the pricing schedule and removes </w:t>
      </w:r>
      <w:r w:rsidR="00296B9A">
        <w:t>free lets as proposed above, then applies a one-</w:t>
      </w:r>
      <w:r w:rsidRPr="00401EB1">
        <w:t xml:space="preserve">off price increase (39%) on 1 April 2018 </w:t>
      </w:r>
      <w:r w:rsidRPr="00401EB1">
        <w:lastRenderedPageBreak/>
        <w:t>with the aim of achieving the savings target (based on current lets volumes). Thereafter</w:t>
      </w:r>
      <w:r w:rsidR="003F3D05">
        <w:t xml:space="preserve"> to 22/23</w:t>
      </w:r>
      <w:r w:rsidRPr="00401EB1">
        <w:t xml:space="preserve"> prices increase at 10% per year (current C</w:t>
      </w:r>
      <w:r w:rsidR="00C97109">
        <w:t>ouncil default price increase).</w:t>
      </w:r>
    </w:p>
    <w:p w:rsidR="00C97109" w:rsidRPr="00C97109" w:rsidRDefault="00C97109" w:rsidP="00800EB7"/>
    <w:p w:rsidR="00800EB7" w:rsidRPr="004C1CAB" w:rsidRDefault="00CA7040" w:rsidP="00800EB7">
      <w:pPr>
        <w:rPr>
          <w:b/>
        </w:rPr>
      </w:pPr>
      <w:r>
        <w:rPr>
          <w:b/>
        </w:rPr>
        <w:t>6.2</w:t>
      </w:r>
      <w:r>
        <w:rPr>
          <w:b/>
        </w:rPr>
        <w:tab/>
      </w:r>
      <w:r w:rsidR="00800EB7">
        <w:rPr>
          <w:b/>
        </w:rPr>
        <w:t>Increase Let Volum</w:t>
      </w:r>
      <w:r w:rsidR="00800EB7" w:rsidRPr="004C1CAB">
        <w:rPr>
          <w:b/>
        </w:rPr>
        <w:t>e</w:t>
      </w:r>
      <w:r w:rsidR="00800EB7">
        <w:rPr>
          <w:b/>
        </w:rPr>
        <w:t>s</w:t>
      </w:r>
    </w:p>
    <w:p w:rsidR="00800EB7" w:rsidRPr="00800EB7" w:rsidRDefault="00800EB7" w:rsidP="00800EB7">
      <w:pPr>
        <w:rPr>
          <w:color w:val="FF0000"/>
        </w:rPr>
      </w:pPr>
    </w:p>
    <w:p w:rsidR="00800EB7" w:rsidRPr="00CA7040" w:rsidRDefault="00800EB7" w:rsidP="00800EB7">
      <w:r w:rsidRPr="00CA7040">
        <w:t>The current focus of the lets project is to organise the mechanics of lets management - the booking process, facilities available and the price schedule. Underpinning each of the options</w:t>
      </w:r>
      <w:r w:rsidR="000C66B4" w:rsidRPr="00CA7040">
        <w:t>, particularly Options 2 and 3, is the potential</w:t>
      </w:r>
      <w:r w:rsidRPr="00CA7040">
        <w:t xml:space="preserve"> to</w:t>
      </w:r>
      <w:r w:rsidR="003F3D05">
        <w:t xml:space="preserve"> grow the lets business and</w:t>
      </w:r>
      <w:r w:rsidRPr="00CA7040">
        <w:t xml:space="preserve"> increase the volume of lets</w:t>
      </w:r>
      <w:r w:rsidR="000C66B4" w:rsidRPr="00CA7040">
        <w:t xml:space="preserve"> and income.</w:t>
      </w:r>
      <w:r w:rsidRPr="00CA7040">
        <w:t xml:space="preserve"> </w:t>
      </w:r>
      <w:r w:rsidR="000C66B4" w:rsidRPr="00CA7040">
        <w:t>F</w:t>
      </w:r>
      <w:r w:rsidRPr="00CA7040">
        <w:t xml:space="preserve">or example there is scope to apply these tools to the wider Council estate and take a more commercial approach to the generation of income from other Council facilities such as meeting rooms, playing fields and car parks used for events. </w:t>
      </w:r>
      <w:r w:rsidR="000C66B4" w:rsidRPr="00CA7040">
        <w:t xml:space="preserve">Promoting and marketing the facilities available can help grow the business. </w:t>
      </w:r>
      <w:r w:rsidR="003F3D05">
        <w:t xml:space="preserve">High Life Highland demonstrates </w:t>
      </w:r>
      <w:r w:rsidRPr="00CA7040">
        <w:t xml:space="preserve">how managing customer relationships to promote activities can create new demand. </w:t>
      </w:r>
    </w:p>
    <w:p w:rsidR="00800EB7" w:rsidRDefault="00800EB7" w:rsidP="002C7401">
      <w:pPr>
        <w:rPr>
          <w:b/>
        </w:rPr>
      </w:pPr>
    </w:p>
    <w:p w:rsidR="00F971AA" w:rsidRPr="00F971AA" w:rsidRDefault="00CA7040" w:rsidP="00F971AA">
      <w:pPr>
        <w:rPr>
          <w:b/>
        </w:rPr>
      </w:pPr>
      <w:r w:rsidRPr="00F971AA">
        <w:rPr>
          <w:b/>
        </w:rPr>
        <w:t>6.3</w:t>
      </w:r>
      <w:r w:rsidR="00F971AA" w:rsidRPr="00F971AA">
        <w:rPr>
          <w:b/>
        </w:rPr>
        <w:tab/>
        <w:t>Indicative Prices</w:t>
      </w:r>
    </w:p>
    <w:p w:rsidR="00FC27AD" w:rsidRDefault="00FC27AD" w:rsidP="002C7401">
      <w:pPr>
        <w:rPr>
          <w:b/>
        </w:rPr>
      </w:pPr>
    </w:p>
    <w:p w:rsidR="00B04AAC" w:rsidRPr="00B04AAC" w:rsidRDefault="00B04AAC" w:rsidP="00B04AAC">
      <w:r w:rsidRPr="00B04AAC">
        <w:t>To give an indication of the impact</w:t>
      </w:r>
      <w:r w:rsidR="008D49F2">
        <w:t xml:space="preserve"> of each option</w:t>
      </w:r>
      <w:r w:rsidR="003F3D05">
        <w:t xml:space="preserve"> </w:t>
      </w:r>
      <w:r w:rsidRPr="00B04AAC">
        <w:t>on actual prices the table and</w:t>
      </w:r>
      <w:r w:rsidR="003F3D05">
        <w:t xml:space="preserve"> graphs below show the impact</w:t>
      </w:r>
      <w:r w:rsidRPr="00B04AAC">
        <w:t xml:space="preserve"> on three different booking scenarios:</w:t>
      </w:r>
    </w:p>
    <w:p w:rsidR="00B04AAC" w:rsidRPr="00B04AAC" w:rsidRDefault="00B04AAC" w:rsidP="00B04AAC">
      <w:pPr>
        <w:pStyle w:val="ListParagraph"/>
        <w:numPr>
          <w:ilvl w:val="0"/>
          <w:numId w:val="34"/>
        </w:numPr>
      </w:pPr>
      <w:r w:rsidRPr="00B04AAC">
        <w:t>All weather pitch for 1hr semi-commercial rate (Band B)</w:t>
      </w:r>
    </w:p>
    <w:p w:rsidR="00B04AAC" w:rsidRPr="00B04AAC" w:rsidRDefault="00B04AAC" w:rsidP="00B04AAC">
      <w:pPr>
        <w:pStyle w:val="ListParagraph"/>
        <w:numPr>
          <w:ilvl w:val="0"/>
          <w:numId w:val="34"/>
        </w:numPr>
      </w:pPr>
      <w:r w:rsidRPr="00B04AAC">
        <w:t>Meeting room hire for 2 hours (community rate (Band A)</w:t>
      </w:r>
    </w:p>
    <w:p w:rsidR="00B04AAC" w:rsidRPr="00B04AAC" w:rsidRDefault="00B04AAC" w:rsidP="00B04AAC">
      <w:pPr>
        <w:pStyle w:val="ListParagraph"/>
        <w:numPr>
          <w:ilvl w:val="0"/>
          <w:numId w:val="34"/>
        </w:numPr>
      </w:pPr>
      <w:r w:rsidRPr="00B04AAC">
        <w:t xml:space="preserve">Uniformed Group using a small hall for 1hr (Band A 50% discount.) </w:t>
      </w:r>
    </w:p>
    <w:p w:rsidR="00B04AAC" w:rsidRDefault="00B04AAC" w:rsidP="00B04AAC">
      <w:pPr>
        <w:rPr>
          <w:rFonts w:asciiTheme="minorHAnsi" w:hAnsiTheme="minorHAnsi" w:cstheme="minorBidi"/>
          <w:sz w:val="22"/>
          <w:szCs w:val="22"/>
        </w:rPr>
      </w:pPr>
      <w:r>
        <w:rPr>
          <w:b/>
        </w:rPr>
        <w:fldChar w:fldCharType="begin"/>
      </w:r>
      <w:r>
        <w:rPr>
          <w:b/>
        </w:rPr>
        <w:instrText xml:space="preserve"> LINK Excel.Sheet.12 "\\\\HighlandCouncil.gov.uk\\StaffPersonal\\PHILT\\my documents\\1. CHANGE MANAGEMENT\\2. School Lets\\Price modelling workbook 29.9.17.xlsx" "Summary- sample prices!R1C1:R14C6" \a \f 5 \h  \* MERGEFORMAT </w:instrText>
      </w:r>
      <w:r>
        <w:rPr>
          <w:b/>
        </w:rPr>
        <w:fldChar w:fldCharType="separate"/>
      </w:r>
    </w:p>
    <w:tbl>
      <w:tblPr>
        <w:tblStyle w:val="TableGrid"/>
        <w:tblW w:w="9378" w:type="dxa"/>
        <w:tblLook w:val="04A0" w:firstRow="1" w:lastRow="0" w:firstColumn="1" w:lastColumn="0" w:noHBand="0" w:noVBand="1"/>
      </w:tblPr>
      <w:tblGrid>
        <w:gridCol w:w="4000"/>
        <w:gridCol w:w="960"/>
        <w:gridCol w:w="960"/>
        <w:gridCol w:w="960"/>
        <w:gridCol w:w="1058"/>
        <w:gridCol w:w="1440"/>
      </w:tblGrid>
      <w:tr w:rsidR="00B04AAC" w:rsidRPr="004638EC" w:rsidTr="00181CB8">
        <w:trPr>
          <w:trHeight w:val="300"/>
        </w:trPr>
        <w:tc>
          <w:tcPr>
            <w:tcW w:w="4000" w:type="dxa"/>
            <w:noWrap/>
            <w:hideMark/>
          </w:tcPr>
          <w:p w:rsidR="00B04AAC" w:rsidRPr="004638EC" w:rsidRDefault="00B04AAC" w:rsidP="005F209F">
            <w:pPr>
              <w:rPr>
                <w:b/>
                <w:sz w:val="20"/>
                <w:szCs w:val="20"/>
              </w:rPr>
            </w:pPr>
          </w:p>
        </w:tc>
        <w:tc>
          <w:tcPr>
            <w:tcW w:w="960" w:type="dxa"/>
            <w:noWrap/>
            <w:hideMark/>
          </w:tcPr>
          <w:p w:rsidR="00B04AAC" w:rsidRPr="004638EC" w:rsidRDefault="00B04AAC" w:rsidP="005F209F">
            <w:pPr>
              <w:rPr>
                <w:b/>
                <w:sz w:val="20"/>
                <w:szCs w:val="20"/>
              </w:rPr>
            </w:pPr>
            <w:r w:rsidRPr="004638EC">
              <w:rPr>
                <w:b/>
                <w:sz w:val="20"/>
                <w:szCs w:val="20"/>
              </w:rPr>
              <w:t>17/18</w:t>
            </w:r>
          </w:p>
        </w:tc>
        <w:tc>
          <w:tcPr>
            <w:tcW w:w="960" w:type="dxa"/>
            <w:noWrap/>
            <w:hideMark/>
          </w:tcPr>
          <w:p w:rsidR="00B04AAC" w:rsidRPr="004638EC" w:rsidRDefault="00B04AAC" w:rsidP="005F209F">
            <w:pPr>
              <w:rPr>
                <w:b/>
                <w:sz w:val="20"/>
                <w:szCs w:val="20"/>
              </w:rPr>
            </w:pPr>
            <w:r w:rsidRPr="004638EC">
              <w:rPr>
                <w:b/>
                <w:sz w:val="20"/>
                <w:szCs w:val="20"/>
              </w:rPr>
              <w:t>18/19</w:t>
            </w:r>
          </w:p>
        </w:tc>
        <w:tc>
          <w:tcPr>
            <w:tcW w:w="960" w:type="dxa"/>
            <w:noWrap/>
            <w:hideMark/>
          </w:tcPr>
          <w:p w:rsidR="00B04AAC" w:rsidRPr="004638EC" w:rsidRDefault="00B04AAC" w:rsidP="005F209F">
            <w:pPr>
              <w:rPr>
                <w:b/>
                <w:sz w:val="20"/>
                <w:szCs w:val="20"/>
              </w:rPr>
            </w:pPr>
            <w:r w:rsidRPr="004638EC">
              <w:rPr>
                <w:b/>
                <w:sz w:val="20"/>
                <w:szCs w:val="20"/>
              </w:rPr>
              <w:t>22/23</w:t>
            </w:r>
          </w:p>
        </w:tc>
        <w:tc>
          <w:tcPr>
            <w:tcW w:w="1058" w:type="dxa"/>
            <w:noWrap/>
            <w:hideMark/>
          </w:tcPr>
          <w:p w:rsidR="00B04AAC" w:rsidRPr="004638EC" w:rsidRDefault="00B04AAC" w:rsidP="005F209F">
            <w:pPr>
              <w:rPr>
                <w:b/>
                <w:sz w:val="20"/>
                <w:szCs w:val="20"/>
              </w:rPr>
            </w:pPr>
            <w:r w:rsidRPr="004638EC">
              <w:rPr>
                <w:b/>
                <w:sz w:val="20"/>
                <w:szCs w:val="20"/>
              </w:rPr>
              <w:t xml:space="preserve">Increase </w:t>
            </w:r>
          </w:p>
          <w:p w:rsidR="00B04AAC" w:rsidRPr="004638EC" w:rsidRDefault="00B04AAC" w:rsidP="005F209F">
            <w:pPr>
              <w:rPr>
                <w:b/>
                <w:sz w:val="20"/>
                <w:szCs w:val="20"/>
              </w:rPr>
            </w:pPr>
            <w:r w:rsidRPr="004638EC">
              <w:rPr>
                <w:b/>
                <w:sz w:val="20"/>
                <w:szCs w:val="20"/>
              </w:rPr>
              <w:t>16/17-</w:t>
            </w:r>
          </w:p>
          <w:p w:rsidR="00B04AAC" w:rsidRPr="004638EC" w:rsidRDefault="00B04AAC" w:rsidP="005F209F">
            <w:pPr>
              <w:rPr>
                <w:b/>
                <w:sz w:val="20"/>
                <w:szCs w:val="20"/>
              </w:rPr>
            </w:pPr>
            <w:r w:rsidRPr="004638EC">
              <w:rPr>
                <w:b/>
                <w:sz w:val="20"/>
                <w:szCs w:val="20"/>
              </w:rPr>
              <w:t>22/23</w:t>
            </w:r>
          </w:p>
        </w:tc>
        <w:tc>
          <w:tcPr>
            <w:tcW w:w="1440" w:type="dxa"/>
            <w:noWrap/>
            <w:hideMark/>
          </w:tcPr>
          <w:p w:rsidR="00B04AAC" w:rsidRPr="004638EC" w:rsidRDefault="00B04AAC" w:rsidP="005F209F">
            <w:pPr>
              <w:rPr>
                <w:b/>
                <w:sz w:val="20"/>
                <w:szCs w:val="20"/>
              </w:rPr>
            </w:pPr>
            <w:r w:rsidRPr="004638EC">
              <w:rPr>
                <w:b/>
                <w:sz w:val="20"/>
                <w:szCs w:val="20"/>
              </w:rPr>
              <w:t>Increase</w:t>
            </w:r>
          </w:p>
          <w:p w:rsidR="00B04AAC" w:rsidRPr="004638EC" w:rsidRDefault="00B04AAC" w:rsidP="005F209F">
            <w:pPr>
              <w:rPr>
                <w:b/>
                <w:sz w:val="20"/>
                <w:szCs w:val="20"/>
              </w:rPr>
            </w:pPr>
            <w:r w:rsidRPr="004638EC">
              <w:rPr>
                <w:b/>
                <w:sz w:val="20"/>
                <w:szCs w:val="20"/>
              </w:rPr>
              <w:t>over</w:t>
            </w:r>
            <w:r>
              <w:rPr>
                <w:b/>
                <w:sz w:val="20"/>
                <w:szCs w:val="20"/>
              </w:rPr>
              <w:t xml:space="preserve"> </w:t>
            </w:r>
            <w:r w:rsidRPr="004638EC">
              <w:rPr>
                <w:b/>
                <w:sz w:val="20"/>
                <w:szCs w:val="20"/>
              </w:rPr>
              <w:t>policy price</w:t>
            </w:r>
            <w:r>
              <w:rPr>
                <w:b/>
                <w:sz w:val="20"/>
                <w:szCs w:val="20"/>
              </w:rPr>
              <w:t xml:space="preserve"> </w:t>
            </w:r>
            <w:r w:rsidR="00181CB8">
              <w:rPr>
                <w:b/>
                <w:sz w:val="20"/>
                <w:szCs w:val="20"/>
              </w:rPr>
              <w:t>(</w:t>
            </w:r>
            <w:r>
              <w:rPr>
                <w:b/>
                <w:sz w:val="20"/>
                <w:szCs w:val="20"/>
              </w:rPr>
              <w:t>22/23</w:t>
            </w:r>
            <w:r w:rsidR="00181CB8">
              <w:rPr>
                <w:b/>
                <w:sz w:val="20"/>
                <w:szCs w:val="20"/>
              </w:rPr>
              <w:t>)</w:t>
            </w:r>
          </w:p>
        </w:tc>
      </w:tr>
      <w:tr w:rsidR="00B04AAC" w:rsidRPr="004638EC" w:rsidTr="00181CB8">
        <w:trPr>
          <w:trHeight w:val="300"/>
        </w:trPr>
        <w:tc>
          <w:tcPr>
            <w:tcW w:w="4000" w:type="dxa"/>
            <w:noWrap/>
            <w:hideMark/>
          </w:tcPr>
          <w:p w:rsidR="00B04AAC" w:rsidRPr="004638EC" w:rsidRDefault="00B04AAC" w:rsidP="005F209F">
            <w:pPr>
              <w:rPr>
                <w:b/>
                <w:sz w:val="20"/>
                <w:szCs w:val="20"/>
              </w:rPr>
            </w:pPr>
            <w:r w:rsidRPr="004638EC">
              <w:rPr>
                <w:b/>
                <w:sz w:val="20"/>
                <w:szCs w:val="20"/>
              </w:rPr>
              <w:t>All weather pitch (1hr) semi commercial</w:t>
            </w:r>
          </w:p>
        </w:tc>
        <w:tc>
          <w:tcPr>
            <w:tcW w:w="960" w:type="dxa"/>
            <w:noWrap/>
            <w:vAlign w:val="center"/>
            <w:hideMark/>
          </w:tcPr>
          <w:p w:rsidR="00B04AAC" w:rsidRPr="004638EC" w:rsidRDefault="00B04AAC" w:rsidP="005F209F">
            <w:pPr>
              <w:jc w:val="right"/>
              <w:rPr>
                <w:b/>
                <w:sz w:val="20"/>
                <w:szCs w:val="20"/>
              </w:rPr>
            </w:pPr>
          </w:p>
        </w:tc>
        <w:tc>
          <w:tcPr>
            <w:tcW w:w="960" w:type="dxa"/>
            <w:noWrap/>
            <w:vAlign w:val="center"/>
            <w:hideMark/>
          </w:tcPr>
          <w:p w:rsidR="00B04AAC" w:rsidRPr="004638EC" w:rsidRDefault="00B04AAC" w:rsidP="005F209F">
            <w:pPr>
              <w:jc w:val="right"/>
              <w:rPr>
                <w:b/>
                <w:sz w:val="20"/>
                <w:szCs w:val="20"/>
              </w:rPr>
            </w:pPr>
          </w:p>
        </w:tc>
        <w:tc>
          <w:tcPr>
            <w:tcW w:w="960" w:type="dxa"/>
            <w:noWrap/>
            <w:vAlign w:val="center"/>
            <w:hideMark/>
          </w:tcPr>
          <w:p w:rsidR="00B04AAC" w:rsidRPr="004638EC" w:rsidRDefault="00B04AAC" w:rsidP="005F209F">
            <w:pPr>
              <w:jc w:val="right"/>
              <w:rPr>
                <w:b/>
                <w:sz w:val="20"/>
                <w:szCs w:val="20"/>
              </w:rPr>
            </w:pPr>
          </w:p>
        </w:tc>
        <w:tc>
          <w:tcPr>
            <w:tcW w:w="1058" w:type="dxa"/>
            <w:noWrap/>
            <w:vAlign w:val="center"/>
            <w:hideMark/>
          </w:tcPr>
          <w:p w:rsidR="00B04AAC" w:rsidRPr="004638EC" w:rsidRDefault="00B04AAC" w:rsidP="005F209F">
            <w:pPr>
              <w:jc w:val="right"/>
              <w:rPr>
                <w:b/>
                <w:sz w:val="20"/>
                <w:szCs w:val="20"/>
              </w:rPr>
            </w:pPr>
          </w:p>
        </w:tc>
        <w:tc>
          <w:tcPr>
            <w:tcW w:w="1440" w:type="dxa"/>
            <w:noWrap/>
            <w:vAlign w:val="center"/>
            <w:hideMark/>
          </w:tcPr>
          <w:p w:rsidR="00B04AAC" w:rsidRPr="004638EC" w:rsidRDefault="00B04AAC" w:rsidP="005F209F">
            <w:pPr>
              <w:jc w:val="right"/>
              <w:rPr>
                <w:b/>
                <w:sz w:val="20"/>
                <w:szCs w:val="20"/>
              </w:rPr>
            </w:pPr>
          </w:p>
        </w:tc>
      </w:tr>
      <w:tr w:rsidR="00B04AAC" w:rsidRPr="004638EC" w:rsidTr="00181CB8">
        <w:trPr>
          <w:trHeight w:val="300"/>
        </w:trPr>
        <w:tc>
          <w:tcPr>
            <w:tcW w:w="4000" w:type="dxa"/>
            <w:noWrap/>
            <w:hideMark/>
          </w:tcPr>
          <w:p w:rsidR="00B04AAC" w:rsidRPr="004638EC" w:rsidRDefault="00515157" w:rsidP="005F209F">
            <w:pPr>
              <w:rPr>
                <w:sz w:val="20"/>
                <w:szCs w:val="20"/>
              </w:rPr>
            </w:pPr>
            <w:r>
              <w:rPr>
                <w:sz w:val="20"/>
                <w:szCs w:val="20"/>
              </w:rPr>
              <w:t>Option</w:t>
            </w:r>
            <w:r w:rsidR="008D49F2">
              <w:rPr>
                <w:sz w:val="20"/>
                <w:szCs w:val="20"/>
              </w:rPr>
              <w:t>s</w:t>
            </w:r>
            <w:r>
              <w:rPr>
                <w:sz w:val="20"/>
                <w:szCs w:val="20"/>
              </w:rPr>
              <w:t xml:space="preserve"> </w:t>
            </w:r>
            <w:r w:rsidR="008D49F2">
              <w:rPr>
                <w:sz w:val="20"/>
                <w:szCs w:val="20"/>
              </w:rPr>
              <w:t>1&amp;</w:t>
            </w:r>
            <w:r>
              <w:rPr>
                <w:sz w:val="20"/>
                <w:szCs w:val="20"/>
              </w:rPr>
              <w:t>2</w:t>
            </w:r>
            <w:r w:rsidR="00B04AAC" w:rsidRPr="004638EC">
              <w:rPr>
                <w:sz w:val="20"/>
                <w:szCs w:val="20"/>
              </w:rPr>
              <w:t xml:space="preserve"> (policy plus 5%)</w:t>
            </w:r>
          </w:p>
        </w:tc>
        <w:tc>
          <w:tcPr>
            <w:tcW w:w="960" w:type="dxa"/>
            <w:noWrap/>
            <w:vAlign w:val="center"/>
            <w:hideMark/>
          </w:tcPr>
          <w:p w:rsidR="00B04AAC" w:rsidRPr="004638EC" w:rsidRDefault="00B04AAC" w:rsidP="005F209F">
            <w:pPr>
              <w:jc w:val="right"/>
              <w:rPr>
                <w:sz w:val="20"/>
                <w:szCs w:val="20"/>
              </w:rPr>
            </w:pPr>
            <w:r w:rsidRPr="004638EC">
              <w:rPr>
                <w:sz w:val="20"/>
                <w:szCs w:val="20"/>
              </w:rPr>
              <w:t>£35.95</w:t>
            </w:r>
          </w:p>
        </w:tc>
        <w:tc>
          <w:tcPr>
            <w:tcW w:w="960" w:type="dxa"/>
            <w:noWrap/>
            <w:vAlign w:val="center"/>
            <w:hideMark/>
          </w:tcPr>
          <w:p w:rsidR="00B04AAC" w:rsidRPr="004638EC" w:rsidRDefault="00B04AAC" w:rsidP="005F209F">
            <w:pPr>
              <w:jc w:val="right"/>
              <w:rPr>
                <w:sz w:val="20"/>
                <w:szCs w:val="20"/>
              </w:rPr>
            </w:pPr>
            <w:r w:rsidRPr="004638EC">
              <w:rPr>
                <w:sz w:val="20"/>
                <w:szCs w:val="20"/>
              </w:rPr>
              <w:t>£35.20</w:t>
            </w:r>
          </w:p>
        </w:tc>
        <w:tc>
          <w:tcPr>
            <w:tcW w:w="960" w:type="dxa"/>
            <w:noWrap/>
            <w:vAlign w:val="center"/>
            <w:hideMark/>
          </w:tcPr>
          <w:p w:rsidR="00B04AAC" w:rsidRPr="004638EC" w:rsidRDefault="00B04AAC" w:rsidP="005F209F">
            <w:pPr>
              <w:jc w:val="right"/>
              <w:rPr>
                <w:sz w:val="20"/>
                <w:szCs w:val="20"/>
              </w:rPr>
            </w:pPr>
            <w:r w:rsidRPr="004638EC">
              <w:rPr>
                <w:sz w:val="20"/>
                <w:szCs w:val="20"/>
              </w:rPr>
              <w:t>£42.85</w:t>
            </w:r>
          </w:p>
        </w:tc>
        <w:tc>
          <w:tcPr>
            <w:tcW w:w="1058" w:type="dxa"/>
            <w:noWrap/>
            <w:vAlign w:val="center"/>
            <w:hideMark/>
          </w:tcPr>
          <w:p w:rsidR="00B04AAC" w:rsidRPr="004638EC" w:rsidRDefault="00B04AAC" w:rsidP="005F209F">
            <w:pPr>
              <w:jc w:val="right"/>
              <w:rPr>
                <w:sz w:val="20"/>
                <w:szCs w:val="20"/>
              </w:rPr>
            </w:pPr>
            <w:r w:rsidRPr="004638EC">
              <w:rPr>
                <w:sz w:val="20"/>
                <w:szCs w:val="20"/>
              </w:rPr>
              <w:t>19%</w:t>
            </w:r>
          </w:p>
        </w:tc>
        <w:tc>
          <w:tcPr>
            <w:tcW w:w="1440" w:type="dxa"/>
            <w:noWrap/>
            <w:vAlign w:val="center"/>
            <w:hideMark/>
          </w:tcPr>
          <w:p w:rsidR="00B04AAC" w:rsidRPr="004638EC" w:rsidRDefault="00B04AAC" w:rsidP="005F209F">
            <w:pPr>
              <w:jc w:val="right"/>
              <w:rPr>
                <w:sz w:val="20"/>
                <w:szCs w:val="20"/>
              </w:rPr>
            </w:pPr>
            <w:r w:rsidRPr="004638EC">
              <w:rPr>
                <w:sz w:val="20"/>
                <w:szCs w:val="20"/>
              </w:rPr>
              <w:t>0%</w:t>
            </w:r>
          </w:p>
        </w:tc>
      </w:tr>
      <w:tr w:rsidR="00B04AAC" w:rsidRPr="004638EC" w:rsidTr="00181CB8">
        <w:trPr>
          <w:trHeight w:val="300"/>
        </w:trPr>
        <w:tc>
          <w:tcPr>
            <w:tcW w:w="4000" w:type="dxa"/>
            <w:noWrap/>
            <w:hideMark/>
          </w:tcPr>
          <w:p w:rsidR="00B04AAC" w:rsidRPr="004638EC" w:rsidRDefault="00515157" w:rsidP="005F209F">
            <w:pPr>
              <w:rPr>
                <w:sz w:val="20"/>
                <w:szCs w:val="20"/>
              </w:rPr>
            </w:pPr>
            <w:r>
              <w:rPr>
                <w:sz w:val="20"/>
                <w:szCs w:val="20"/>
              </w:rPr>
              <w:t>Option 3</w:t>
            </w:r>
            <w:r w:rsidR="00B04AAC" w:rsidRPr="004638EC">
              <w:rPr>
                <w:sz w:val="20"/>
                <w:szCs w:val="20"/>
              </w:rPr>
              <w:t xml:space="preserve"> (policy plus 10%)</w:t>
            </w:r>
          </w:p>
        </w:tc>
        <w:tc>
          <w:tcPr>
            <w:tcW w:w="960" w:type="dxa"/>
            <w:noWrap/>
            <w:vAlign w:val="center"/>
            <w:hideMark/>
          </w:tcPr>
          <w:p w:rsidR="00B04AAC" w:rsidRPr="004638EC" w:rsidRDefault="00B04AAC" w:rsidP="005F209F">
            <w:pPr>
              <w:jc w:val="right"/>
              <w:rPr>
                <w:sz w:val="20"/>
                <w:szCs w:val="20"/>
              </w:rPr>
            </w:pPr>
            <w:r w:rsidRPr="004638EC">
              <w:rPr>
                <w:sz w:val="20"/>
                <w:szCs w:val="20"/>
              </w:rPr>
              <w:t>£35.95</w:t>
            </w:r>
          </w:p>
        </w:tc>
        <w:tc>
          <w:tcPr>
            <w:tcW w:w="960" w:type="dxa"/>
            <w:noWrap/>
            <w:vAlign w:val="center"/>
            <w:hideMark/>
          </w:tcPr>
          <w:p w:rsidR="00B04AAC" w:rsidRPr="004638EC" w:rsidRDefault="00B04AAC" w:rsidP="005F209F">
            <w:pPr>
              <w:jc w:val="right"/>
              <w:rPr>
                <w:sz w:val="20"/>
                <w:szCs w:val="20"/>
              </w:rPr>
            </w:pPr>
            <w:r w:rsidRPr="004638EC">
              <w:rPr>
                <w:sz w:val="20"/>
                <w:szCs w:val="20"/>
              </w:rPr>
              <w:t>£36.85</w:t>
            </w:r>
          </w:p>
        </w:tc>
        <w:tc>
          <w:tcPr>
            <w:tcW w:w="960" w:type="dxa"/>
            <w:noWrap/>
            <w:vAlign w:val="center"/>
            <w:hideMark/>
          </w:tcPr>
          <w:p w:rsidR="00B04AAC" w:rsidRPr="004638EC" w:rsidRDefault="00B04AAC" w:rsidP="005F209F">
            <w:pPr>
              <w:jc w:val="right"/>
              <w:rPr>
                <w:sz w:val="20"/>
                <w:szCs w:val="20"/>
              </w:rPr>
            </w:pPr>
            <w:r w:rsidRPr="004638EC">
              <w:rPr>
                <w:sz w:val="20"/>
                <w:szCs w:val="20"/>
              </w:rPr>
              <w:t>£54.10</w:t>
            </w:r>
          </w:p>
        </w:tc>
        <w:tc>
          <w:tcPr>
            <w:tcW w:w="1058" w:type="dxa"/>
            <w:noWrap/>
            <w:vAlign w:val="center"/>
            <w:hideMark/>
          </w:tcPr>
          <w:p w:rsidR="00B04AAC" w:rsidRPr="004638EC" w:rsidRDefault="00B04AAC" w:rsidP="005F209F">
            <w:pPr>
              <w:jc w:val="right"/>
              <w:rPr>
                <w:sz w:val="20"/>
                <w:szCs w:val="20"/>
              </w:rPr>
            </w:pPr>
            <w:r w:rsidRPr="004638EC">
              <w:rPr>
                <w:sz w:val="20"/>
                <w:szCs w:val="20"/>
              </w:rPr>
              <w:t>50%</w:t>
            </w:r>
          </w:p>
        </w:tc>
        <w:tc>
          <w:tcPr>
            <w:tcW w:w="1440" w:type="dxa"/>
            <w:noWrap/>
            <w:vAlign w:val="center"/>
            <w:hideMark/>
          </w:tcPr>
          <w:p w:rsidR="00B04AAC" w:rsidRPr="004638EC" w:rsidRDefault="00B04AAC" w:rsidP="005F209F">
            <w:pPr>
              <w:jc w:val="right"/>
              <w:rPr>
                <w:sz w:val="20"/>
                <w:szCs w:val="20"/>
              </w:rPr>
            </w:pPr>
            <w:r w:rsidRPr="004638EC">
              <w:rPr>
                <w:sz w:val="20"/>
                <w:szCs w:val="20"/>
              </w:rPr>
              <w:t>26%</w:t>
            </w:r>
          </w:p>
        </w:tc>
      </w:tr>
      <w:tr w:rsidR="00B04AAC" w:rsidRPr="004638EC" w:rsidTr="00181CB8">
        <w:trPr>
          <w:trHeight w:val="300"/>
        </w:trPr>
        <w:tc>
          <w:tcPr>
            <w:tcW w:w="4000" w:type="dxa"/>
            <w:noWrap/>
            <w:hideMark/>
          </w:tcPr>
          <w:p w:rsidR="00B04AAC" w:rsidRPr="004638EC" w:rsidRDefault="00B04AAC" w:rsidP="005F209F">
            <w:pPr>
              <w:rPr>
                <w:sz w:val="20"/>
                <w:szCs w:val="20"/>
              </w:rPr>
            </w:pPr>
            <w:r w:rsidRPr="004638EC">
              <w:rPr>
                <w:sz w:val="20"/>
                <w:szCs w:val="20"/>
              </w:rPr>
              <w:t>Option</w:t>
            </w:r>
            <w:r w:rsidR="00515157">
              <w:rPr>
                <w:sz w:val="20"/>
                <w:szCs w:val="20"/>
              </w:rPr>
              <w:t xml:space="preserve"> 4</w:t>
            </w:r>
            <w:r w:rsidRPr="004638EC">
              <w:rPr>
                <w:sz w:val="20"/>
                <w:szCs w:val="20"/>
              </w:rPr>
              <w:t xml:space="preserve"> (savings plus 10%)</w:t>
            </w:r>
          </w:p>
        </w:tc>
        <w:tc>
          <w:tcPr>
            <w:tcW w:w="960" w:type="dxa"/>
            <w:noWrap/>
            <w:vAlign w:val="center"/>
            <w:hideMark/>
          </w:tcPr>
          <w:p w:rsidR="00B04AAC" w:rsidRPr="004638EC" w:rsidRDefault="00B04AAC" w:rsidP="005F209F">
            <w:pPr>
              <w:jc w:val="right"/>
              <w:rPr>
                <w:sz w:val="20"/>
                <w:szCs w:val="20"/>
              </w:rPr>
            </w:pPr>
            <w:r w:rsidRPr="004638EC">
              <w:rPr>
                <w:sz w:val="20"/>
                <w:szCs w:val="20"/>
              </w:rPr>
              <w:t>£23.20</w:t>
            </w:r>
          </w:p>
        </w:tc>
        <w:tc>
          <w:tcPr>
            <w:tcW w:w="960" w:type="dxa"/>
            <w:noWrap/>
            <w:vAlign w:val="center"/>
            <w:hideMark/>
          </w:tcPr>
          <w:p w:rsidR="00B04AAC" w:rsidRPr="004638EC" w:rsidRDefault="00B04AAC" w:rsidP="005F209F">
            <w:pPr>
              <w:jc w:val="right"/>
              <w:rPr>
                <w:sz w:val="20"/>
                <w:szCs w:val="20"/>
              </w:rPr>
            </w:pPr>
            <w:r w:rsidRPr="004638EC">
              <w:rPr>
                <w:sz w:val="20"/>
                <w:szCs w:val="20"/>
              </w:rPr>
              <w:t>£46.60</w:t>
            </w:r>
          </w:p>
        </w:tc>
        <w:tc>
          <w:tcPr>
            <w:tcW w:w="960" w:type="dxa"/>
            <w:noWrap/>
            <w:vAlign w:val="center"/>
            <w:hideMark/>
          </w:tcPr>
          <w:p w:rsidR="00B04AAC" w:rsidRPr="004638EC" w:rsidRDefault="00B04AAC" w:rsidP="005F209F">
            <w:pPr>
              <w:jc w:val="right"/>
              <w:rPr>
                <w:sz w:val="20"/>
                <w:szCs w:val="20"/>
              </w:rPr>
            </w:pPr>
            <w:r w:rsidRPr="004638EC">
              <w:rPr>
                <w:sz w:val="20"/>
                <w:szCs w:val="20"/>
              </w:rPr>
              <w:t>£68.35</w:t>
            </w:r>
          </w:p>
        </w:tc>
        <w:tc>
          <w:tcPr>
            <w:tcW w:w="1058" w:type="dxa"/>
            <w:noWrap/>
            <w:vAlign w:val="center"/>
            <w:hideMark/>
          </w:tcPr>
          <w:p w:rsidR="00B04AAC" w:rsidRPr="004638EC" w:rsidRDefault="00B04AAC" w:rsidP="005F209F">
            <w:pPr>
              <w:jc w:val="right"/>
              <w:rPr>
                <w:sz w:val="20"/>
                <w:szCs w:val="20"/>
              </w:rPr>
            </w:pPr>
            <w:r w:rsidRPr="004638EC">
              <w:rPr>
                <w:sz w:val="20"/>
                <w:szCs w:val="20"/>
              </w:rPr>
              <w:t>195%</w:t>
            </w:r>
          </w:p>
        </w:tc>
        <w:tc>
          <w:tcPr>
            <w:tcW w:w="1440" w:type="dxa"/>
            <w:noWrap/>
            <w:vAlign w:val="center"/>
            <w:hideMark/>
          </w:tcPr>
          <w:p w:rsidR="00B04AAC" w:rsidRPr="004638EC" w:rsidRDefault="00B04AAC" w:rsidP="005F209F">
            <w:pPr>
              <w:jc w:val="right"/>
              <w:rPr>
                <w:sz w:val="20"/>
                <w:szCs w:val="20"/>
              </w:rPr>
            </w:pPr>
            <w:r w:rsidRPr="004638EC">
              <w:rPr>
                <w:sz w:val="20"/>
                <w:szCs w:val="20"/>
              </w:rPr>
              <w:t>60%</w:t>
            </w:r>
          </w:p>
        </w:tc>
      </w:tr>
      <w:tr w:rsidR="00B04AAC" w:rsidRPr="004638EC" w:rsidTr="00181CB8">
        <w:trPr>
          <w:trHeight w:val="300"/>
        </w:trPr>
        <w:tc>
          <w:tcPr>
            <w:tcW w:w="4000" w:type="dxa"/>
            <w:noWrap/>
            <w:hideMark/>
          </w:tcPr>
          <w:p w:rsidR="00B04AAC" w:rsidRPr="004638EC" w:rsidRDefault="00B04AAC" w:rsidP="005F209F">
            <w:pPr>
              <w:rPr>
                <w:b/>
                <w:sz w:val="20"/>
                <w:szCs w:val="20"/>
              </w:rPr>
            </w:pPr>
            <w:r w:rsidRPr="004638EC">
              <w:rPr>
                <w:b/>
                <w:sz w:val="20"/>
                <w:szCs w:val="20"/>
              </w:rPr>
              <w:t>Meeting room (2hr) community</w:t>
            </w:r>
          </w:p>
        </w:tc>
        <w:tc>
          <w:tcPr>
            <w:tcW w:w="960" w:type="dxa"/>
            <w:noWrap/>
            <w:vAlign w:val="center"/>
            <w:hideMark/>
          </w:tcPr>
          <w:p w:rsidR="00B04AAC" w:rsidRPr="004638EC" w:rsidRDefault="00B04AAC" w:rsidP="005F209F">
            <w:pPr>
              <w:jc w:val="right"/>
              <w:rPr>
                <w:b/>
                <w:sz w:val="20"/>
                <w:szCs w:val="20"/>
              </w:rPr>
            </w:pPr>
          </w:p>
        </w:tc>
        <w:tc>
          <w:tcPr>
            <w:tcW w:w="960" w:type="dxa"/>
            <w:noWrap/>
            <w:vAlign w:val="center"/>
            <w:hideMark/>
          </w:tcPr>
          <w:p w:rsidR="00B04AAC" w:rsidRPr="004638EC" w:rsidRDefault="00B04AAC" w:rsidP="005F209F">
            <w:pPr>
              <w:jc w:val="right"/>
              <w:rPr>
                <w:b/>
                <w:sz w:val="20"/>
                <w:szCs w:val="20"/>
              </w:rPr>
            </w:pPr>
          </w:p>
        </w:tc>
        <w:tc>
          <w:tcPr>
            <w:tcW w:w="960" w:type="dxa"/>
            <w:noWrap/>
            <w:vAlign w:val="center"/>
            <w:hideMark/>
          </w:tcPr>
          <w:p w:rsidR="00B04AAC" w:rsidRPr="004638EC" w:rsidRDefault="00B04AAC" w:rsidP="005F209F">
            <w:pPr>
              <w:jc w:val="right"/>
              <w:rPr>
                <w:b/>
                <w:sz w:val="20"/>
                <w:szCs w:val="20"/>
              </w:rPr>
            </w:pPr>
          </w:p>
        </w:tc>
        <w:tc>
          <w:tcPr>
            <w:tcW w:w="1058" w:type="dxa"/>
            <w:noWrap/>
            <w:vAlign w:val="center"/>
            <w:hideMark/>
          </w:tcPr>
          <w:p w:rsidR="00B04AAC" w:rsidRPr="004638EC" w:rsidRDefault="00B04AAC" w:rsidP="005F209F">
            <w:pPr>
              <w:jc w:val="right"/>
              <w:rPr>
                <w:b/>
                <w:sz w:val="20"/>
                <w:szCs w:val="20"/>
              </w:rPr>
            </w:pPr>
          </w:p>
        </w:tc>
        <w:tc>
          <w:tcPr>
            <w:tcW w:w="1440" w:type="dxa"/>
            <w:noWrap/>
            <w:vAlign w:val="center"/>
            <w:hideMark/>
          </w:tcPr>
          <w:p w:rsidR="00B04AAC" w:rsidRPr="004638EC" w:rsidRDefault="00B04AAC" w:rsidP="005F209F">
            <w:pPr>
              <w:jc w:val="right"/>
              <w:rPr>
                <w:b/>
                <w:sz w:val="20"/>
                <w:szCs w:val="20"/>
              </w:rPr>
            </w:pPr>
          </w:p>
        </w:tc>
      </w:tr>
      <w:tr w:rsidR="00B04AAC" w:rsidRPr="004638EC" w:rsidTr="00181CB8">
        <w:trPr>
          <w:trHeight w:val="300"/>
        </w:trPr>
        <w:tc>
          <w:tcPr>
            <w:tcW w:w="4000" w:type="dxa"/>
            <w:noWrap/>
            <w:hideMark/>
          </w:tcPr>
          <w:p w:rsidR="00B04AAC" w:rsidRPr="004638EC" w:rsidRDefault="008D49F2" w:rsidP="005F209F">
            <w:pPr>
              <w:rPr>
                <w:sz w:val="20"/>
                <w:szCs w:val="20"/>
              </w:rPr>
            </w:pPr>
            <w:r>
              <w:rPr>
                <w:sz w:val="20"/>
                <w:szCs w:val="20"/>
              </w:rPr>
              <w:t>Options 1&amp;2</w:t>
            </w:r>
            <w:r w:rsidRPr="004638EC">
              <w:rPr>
                <w:sz w:val="20"/>
                <w:szCs w:val="20"/>
              </w:rPr>
              <w:t xml:space="preserve"> (policy plus 5%)</w:t>
            </w:r>
          </w:p>
        </w:tc>
        <w:tc>
          <w:tcPr>
            <w:tcW w:w="960" w:type="dxa"/>
            <w:noWrap/>
            <w:vAlign w:val="center"/>
            <w:hideMark/>
          </w:tcPr>
          <w:p w:rsidR="00B04AAC" w:rsidRPr="004638EC" w:rsidRDefault="00B04AAC" w:rsidP="005F209F">
            <w:pPr>
              <w:jc w:val="right"/>
              <w:rPr>
                <w:sz w:val="20"/>
                <w:szCs w:val="20"/>
              </w:rPr>
            </w:pPr>
            <w:r w:rsidRPr="004638EC">
              <w:rPr>
                <w:sz w:val="20"/>
                <w:szCs w:val="20"/>
              </w:rPr>
              <w:t>£10.35</w:t>
            </w:r>
          </w:p>
        </w:tc>
        <w:tc>
          <w:tcPr>
            <w:tcW w:w="960" w:type="dxa"/>
            <w:noWrap/>
            <w:vAlign w:val="center"/>
            <w:hideMark/>
          </w:tcPr>
          <w:p w:rsidR="00B04AAC" w:rsidRPr="004638EC" w:rsidRDefault="00B04AAC" w:rsidP="005F209F">
            <w:pPr>
              <w:jc w:val="right"/>
              <w:rPr>
                <w:sz w:val="20"/>
                <w:szCs w:val="20"/>
              </w:rPr>
            </w:pPr>
            <w:r w:rsidRPr="004638EC">
              <w:rPr>
                <w:sz w:val="20"/>
                <w:szCs w:val="20"/>
              </w:rPr>
              <w:t>£21.80</w:t>
            </w:r>
          </w:p>
        </w:tc>
        <w:tc>
          <w:tcPr>
            <w:tcW w:w="960" w:type="dxa"/>
            <w:noWrap/>
            <w:vAlign w:val="center"/>
            <w:hideMark/>
          </w:tcPr>
          <w:p w:rsidR="00B04AAC" w:rsidRPr="004638EC" w:rsidRDefault="00B04AAC" w:rsidP="005F209F">
            <w:pPr>
              <w:jc w:val="right"/>
              <w:rPr>
                <w:sz w:val="20"/>
                <w:szCs w:val="20"/>
              </w:rPr>
            </w:pPr>
            <w:r w:rsidRPr="004638EC">
              <w:rPr>
                <w:sz w:val="20"/>
                <w:szCs w:val="20"/>
              </w:rPr>
              <w:t>£25.40</w:t>
            </w:r>
          </w:p>
        </w:tc>
        <w:tc>
          <w:tcPr>
            <w:tcW w:w="1058" w:type="dxa"/>
            <w:noWrap/>
            <w:vAlign w:val="center"/>
            <w:hideMark/>
          </w:tcPr>
          <w:p w:rsidR="00B04AAC" w:rsidRPr="004638EC" w:rsidRDefault="00B04AAC" w:rsidP="005F209F">
            <w:pPr>
              <w:jc w:val="right"/>
              <w:rPr>
                <w:sz w:val="20"/>
                <w:szCs w:val="20"/>
              </w:rPr>
            </w:pPr>
            <w:r w:rsidRPr="004638EC">
              <w:rPr>
                <w:sz w:val="20"/>
                <w:szCs w:val="20"/>
              </w:rPr>
              <w:t>145%</w:t>
            </w:r>
          </w:p>
        </w:tc>
        <w:tc>
          <w:tcPr>
            <w:tcW w:w="1440" w:type="dxa"/>
            <w:noWrap/>
            <w:vAlign w:val="center"/>
            <w:hideMark/>
          </w:tcPr>
          <w:p w:rsidR="00B04AAC" w:rsidRPr="004638EC" w:rsidRDefault="00B04AAC" w:rsidP="005F209F">
            <w:pPr>
              <w:jc w:val="right"/>
              <w:rPr>
                <w:sz w:val="20"/>
                <w:szCs w:val="20"/>
              </w:rPr>
            </w:pPr>
            <w:r w:rsidRPr="004638EC">
              <w:rPr>
                <w:sz w:val="20"/>
                <w:szCs w:val="20"/>
              </w:rPr>
              <w:t>0%</w:t>
            </w:r>
          </w:p>
        </w:tc>
      </w:tr>
      <w:tr w:rsidR="00B04AAC" w:rsidRPr="004638EC" w:rsidTr="00181CB8">
        <w:trPr>
          <w:trHeight w:val="300"/>
        </w:trPr>
        <w:tc>
          <w:tcPr>
            <w:tcW w:w="4000" w:type="dxa"/>
            <w:noWrap/>
            <w:hideMark/>
          </w:tcPr>
          <w:p w:rsidR="00B04AAC" w:rsidRPr="004638EC" w:rsidRDefault="00515157" w:rsidP="005F209F">
            <w:pPr>
              <w:rPr>
                <w:sz w:val="20"/>
                <w:szCs w:val="20"/>
              </w:rPr>
            </w:pPr>
            <w:r>
              <w:rPr>
                <w:sz w:val="20"/>
                <w:szCs w:val="20"/>
              </w:rPr>
              <w:t>Option 3</w:t>
            </w:r>
            <w:r w:rsidR="00B04AAC" w:rsidRPr="004638EC">
              <w:rPr>
                <w:sz w:val="20"/>
                <w:szCs w:val="20"/>
              </w:rPr>
              <w:t xml:space="preserve"> (policy plus 10%)</w:t>
            </w:r>
          </w:p>
        </w:tc>
        <w:tc>
          <w:tcPr>
            <w:tcW w:w="960" w:type="dxa"/>
            <w:noWrap/>
            <w:vAlign w:val="center"/>
            <w:hideMark/>
          </w:tcPr>
          <w:p w:rsidR="00B04AAC" w:rsidRPr="004638EC" w:rsidRDefault="00B04AAC" w:rsidP="005F209F">
            <w:pPr>
              <w:jc w:val="right"/>
              <w:rPr>
                <w:sz w:val="20"/>
                <w:szCs w:val="20"/>
              </w:rPr>
            </w:pPr>
            <w:r w:rsidRPr="004638EC">
              <w:rPr>
                <w:sz w:val="20"/>
                <w:szCs w:val="20"/>
              </w:rPr>
              <w:t>£10.35</w:t>
            </w:r>
          </w:p>
        </w:tc>
        <w:tc>
          <w:tcPr>
            <w:tcW w:w="960" w:type="dxa"/>
            <w:noWrap/>
            <w:vAlign w:val="center"/>
            <w:hideMark/>
          </w:tcPr>
          <w:p w:rsidR="00B04AAC" w:rsidRPr="004638EC" w:rsidRDefault="00B04AAC" w:rsidP="005F209F">
            <w:pPr>
              <w:jc w:val="right"/>
              <w:rPr>
                <w:sz w:val="20"/>
                <w:szCs w:val="20"/>
              </w:rPr>
            </w:pPr>
            <w:r w:rsidRPr="004638EC">
              <w:rPr>
                <w:sz w:val="20"/>
                <w:szCs w:val="20"/>
              </w:rPr>
              <w:t>£22.80</w:t>
            </w:r>
          </w:p>
        </w:tc>
        <w:tc>
          <w:tcPr>
            <w:tcW w:w="960" w:type="dxa"/>
            <w:noWrap/>
            <w:vAlign w:val="center"/>
            <w:hideMark/>
          </w:tcPr>
          <w:p w:rsidR="00B04AAC" w:rsidRPr="004638EC" w:rsidRDefault="00B04AAC" w:rsidP="005F209F">
            <w:pPr>
              <w:jc w:val="right"/>
              <w:rPr>
                <w:sz w:val="20"/>
                <w:szCs w:val="20"/>
              </w:rPr>
            </w:pPr>
            <w:r w:rsidRPr="004638EC">
              <w:rPr>
                <w:sz w:val="20"/>
                <w:szCs w:val="20"/>
              </w:rPr>
              <w:t>£30.50</w:t>
            </w:r>
          </w:p>
        </w:tc>
        <w:tc>
          <w:tcPr>
            <w:tcW w:w="1058" w:type="dxa"/>
            <w:noWrap/>
            <w:vAlign w:val="center"/>
            <w:hideMark/>
          </w:tcPr>
          <w:p w:rsidR="00B04AAC" w:rsidRPr="004638EC" w:rsidRDefault="00B04AAC" w:rsidP="005F209F">
            <w:pPr>
              <w:jc w:val="right"/>
              <w:rPr>
                <w:sz w:val="20"/>
                <w:szCs w:val="20"/>
              </w:rPr>
            </w:pPr>
            <w:r w:rsidRPr="004638EC">
              <w:rPr>
                <w:sz w:val="20"/>
                <w:szCs w:val="20"/>
              </w:rPr>
              <w:t>195%</w:t>
            </w:r>
          </w:p>
        </w:tc>
        <w:tc>
          <w:tcPr>
            <w:tcW w:w="1440" w:type="dxa"/>
            <w:noWrap/>
            <w:vAlign w:val="center"/>
            <w:hideMark/>
          </w:tcPr>
          <w:p w:rsidR="00B04AAC" w:rsidRPr="004638EC" w:rsidRDefault="00B04AAC" w:rsidP="005F209F">
            <w:pPr>
              <w:jc w:val="right"/>
              <w:rPr>
                <w:sz w:val="20"/>
                <w:szCs w:val="20"/>
              </w:rPr>
            </w:pPr>
            <w:r w:rsidRPr="004638EC">
              <w:rPr>
                <w:sz w:val="20"/>
                <w:szCs w:val="20"/>
              </w:rPr>
              <w:t>20%</w:t>
            </w:r>
          </w:p>
        </w:tc>
      </w:tr>
      <w:tr w:rsidR="00B04AAC" w:rsidRPr="004638EC" w:rsidTr="00181CB8">
        <w:trPr>
          <w:trHeight w:val="300"/>
        </w:trPr>
        <w:tc>
          <w:tcPr>
            <w:tcW w:w="4000" w:type="dxa"/>
            <w:noWrap/>
            <w:hideMark/>
          </w:tcPr>
          <w:p w:rsidR="00B04AAC" w:rsidRPr="004638EC" w:rsidRDefault="00515157" w:rsidP="005F209F">
            <w:pPr>
              <w:rPr>
                <w:sz w:val="20"/>
                <w:szCs w:val="20"/>
              </w:rPr>
            </w:pPr>
            <w:r>
              <w:rPr>
                <w:sz w:val="20"/>
                <w:szCs w:val="20"/>
              </w:rPr>
              <w:t>Option 4</w:t>
            </w:r>
            <w:r w:rsidR="00B04AAC" w:rsidRPr="004638EC">
              <w:rPr>
                <w:sz w:val="20"/>
                <w:szCs w:val="20"/>
              </w:rPr>
              <w:t xml:space="preserve"> (savings plus 10%)</w:t>
            </w:r>
          </w:p>
        </w:tc>
        <w:tc>
          <w:tcPr>
            <w:tcW w:w="960" w:type="dxa"/>
            <w:noWrap/>
            <w:vAlign w:val="center"/>
            <w:hideMark/>
          </w:tcPr>
          <w:p w:rsidR="00B04AAC" w:rsidRPr="004638EC" w:rsidRDefault="00B04AAC" w:rsidP="005F209F">
            <w:pPr>
              <w:jc w:val="right"/>
              <w:rPr>
                <w:sz w:val="20"/>
                <w:szCs w:val="20"/>
              </w:rPr>
            </w:pPr>
            <w:r w:rsidRPr="004638EC">
              <w:rPr>
                <w:sz w:val="20"/>
                <w:szCs w:val="20"/>
              </w:rPr>
              <w:t>£10.35</w:t>
            </w:r>
          </w:p>
        </w:tc>
        <w:tc>
          <w:tcPr>
            <w:tcW w:w="960" w:type="dxa"/>
            <w:noWrap/>
            <w:vAlign w:val="center"/>
            <w:hideMark/>
          </w:tcPr>
          <w:p w:rsidR="00B04AAC" w:rsidRPr="004638EC" w:rsidRDefault="00B04AAC" w:rsidP="005F209F">
            <w:pPr>
              <w:jc w:val="right"/>
              <w:rPr>
                <w:sz w:val="20"/>
                <w:szCs w:val="20"/>
              </w:rPr>
            </w:pPr>
            <w:r w:rsidRPr="004638EC">
              <w:rPr>
                <w:sz w:val="20"/>
                <w:szCs w:val="20"/>
              </w:rPr>
              <w:t>£28.80</w:t>
            </w:r>
          </w:p>
        </w:tc>
        <w:tc>
          <w:tcPr>
            <w:tcW w:w="960" w:type="dxa"/>
            <w:noWrap/>
            <w:vAlign w:val="center"/>
            <w:hideMark/>
          </w:tcPr>
          <w:p w:rsidR="00B04AAC" w:rsidRPr="004638EC" w:rsidRDefault="00B04AAC" w:rsidP="005F209F">
            <w:pPr>
              <w:jc w:val="right"/>
              <w:rPr>
                <w:sz w:val="20"/>
                <w:szCs w:val="20"/>
              </w:rPr>
            </w:pPr>
            <w:r w:rsidRPr="004638EC">
              <w:rPr>
                <w:sz w:val="20"/>
                <w:szCs w:val="20"/>
              </w:rPr>
              <w:t>£38.40</w:t>
            </w:r>
          </w:p>
        </w:tc>
        <w:tc>
          <w:tcPr>
            <w:tcW w:w="1058" w:type="dxa"/>
            <w:noWrap/>
            <w:vAlign w:val="center"/>
            <w:hideMark/>
          </w:tcPr>
          <w:p w:rsidR="00B04AAC" w:rsidRPr="004638EC" w:rsidRDefault="00B04AAC" w:rsidP="005F209F">
            <w:pPr>
              <w:jc w:val="right"/>
              <w:rPr>
                <w:sz w:val="20"/>
                <w:szCs w:val="20"/>
              </w:rPr>
            </w:pPr>
            <w:r w:rsidRPr="004638EC">
              <w:rPr>
                <w:sz w:val="20"/>
                <w:szCs w:val="20"/>
              </w:rPr>
              <w:t>271%</w:t>
            </w:r>
          </w:p>
        </w:tc>
        <w:tc>
          <w:tcPr>
            <w:tcW w:w="1440" w:type="dxa"/>
            <w:noWrap/>
            <w:vAlign w:val="center"/>
            <w:hideMark/>
          </w:tcPr>
          <w:p w:rsidR="00B04AAC" w:rsidRPr="004638EC" w:rsidRDefault="00B04AAC" w:rsidP="005F209F">
            <w:pPr>
              <w:jc w:val="right"/>
              <w:rPr>
                <w:sz w:val="20"/>
                <w:szCs w:val="20"/>
              </w:rPr>
            </w:pPr>
            <w:r w:rsidRPr="004638EC">
              <w:rPr>
                <w:sz w:val="20"/>
                <w:szCs w:val="20"/>
              </w:rPr>
              <w:t>51%</w:t>
            </w:r>
          </w:p>
        </w:tc>
      </w:tr>
      <w:tr w:rsidR="00B04AAC" w:rsidRPr="004638EC" w:rsidTr="00181CB8">
        <w:trPr>
          <w:trHeight w:val="300"/>
        </w:trPr>
        <w:tc>
          <w:tcPr>
            <w:tcW w:w="4000" w:type="dxa"/>
            <w:noWrap/>
            <w:hideMark/>
          </w:tcPr>
          <w:p w:rsidR="00B04AAC" w:rsidRPr="004638EC" w:rsidRDefault="00B04AAC" w:rsidP="005F209F">
            <w:pPr>
              <w:rPr>
                <w:b/>
                <w:sz w:val="20"/>
                <w:szCs w:val="20"/>
              </w:rPr>
            </w:pPr>
            <w:r w:rsidRPr="004638EC">
              <w:rPr>
                <w:b/>
                <w:sz w:val="20"/>
                <w:szCs w:val="20"/>
              </w:rPr>
              <w:t>Small Hall (1hr) Uniformed Group (U18)</w:t>
            </w:r>
          </w:p>
        </w:tc>
        <w:tc>
          <w:tcPr>
            <w:tcW w:w="960" w:type="dxa"/>
            <w:noWrap/>
            <w:vAlign w:val="center"/>
            <w:hideMark/>
          </w:tcPr>
          <w:p w:rsidR="00B04AAC" w:rsidRPr="004638EC" w:rsidRDefault="00B04AAC" w:rsidP="005F209F">
            <w:pPr>
              <w:jc w:val="right"/>
              <w:rPr>
                <w:b/>
                <w:sz w:val="20"/>
                <w:szCs w:val="20"/>
              </w:rPr>
            </w:pPr>
          </w:p>
        </w:tc>
        <w:tc>
          <w:tcPr>
            <w:tcW w:w="960" w:type="dxa"/>
            <w:noWrap/>
            <w:vAlign w:val="center"/>
            <w:hideMark/>
          </w:tcPr>
          <w:p w:rsidR="00B04AAC" w:rsidRPr="004638EC" w:rsidRDefault="00B04AAC" w:rsidP="005F209F">
            <w:pPr>
              <w:jc w:val="right"/>
              <w:rPr>
                <w:b/>
                <w:sz w:val="20"/>
                <w:szCs w:val="20"/>
              </w:rPr>
            </w:pPr>
          </w:p>
        </w:tc>
        <w:tc>
          <w:tcPr>
            <w:tcW w:w="960" w:type="dxa"/>
            <w:noWrap/>
            <w:vAlign w:val="center"/>
            <w:hideMark/>
          </w:tcPr>
          <w:p w:rsidR="00B04AAC" w:rsidRPr="004638EC" w:rsidRDefault="00B04AAC" w:rsidP="005F209F">
            <w:pPr>
              <w:jc w:val="right"/>
              <w:rPr>
                <w:b/>
                <w:sz w:val="20"/>
                <w:szCs w:val="20"/>
              </w:rPr>
            </w:pPr>
          </w:p>
        </w:tc>
        <w:tc>
          <w:tcPr>
            <w:tcW w:w="1058" w:type="dxa"/>
            <w:noWrap/>
            <w:vAlign w:val="center"/>
            <w:hideMark/>
          </w:tcPr>
          <w:p w:rsidR="00B04AAC" w:rsidRPr="004638EC" w:rsidRDefault="00B04AAC" w:rsidP="005F209F">
            <w:pPr>
              <w:jc w:val="right"/>
              <w:rPr>
                <w:b/>
                <w:sz w:val="20"/>
                <w:szCs w:val="20"/>
              </w:rPr>
            </w:pPr>
            <w:r w:rsidRPr="004638EC">
              <w:rPr>
                <w:b/>
                <w:sz w:val="20"/>
                <w:szCs w:val="20"/>
              </w:rPr>
              <w:t xml:space="preserve"> </w:t>
            </w:r>
          </w:p>
        </w:tc>
        <w:tc>
          <w:tcPr>
            <w:tcW w:w="1440" w:type="dxa"/>
            <w:noWrap/>
            <w:vAlign w:val="center"/>
            <w:hideMark/>
          </w:tcPr>
          <w:p w:rsidR="00B04AAC" w:rsidRPr="004638EC" w:rsidRDefault="00B04AAC" w:rsidP="005F209F">
            <w:pPr>
              <w:jc w:val="right"/>
              <w:rPr>
                <w:b/>
                <w:sz w:val="20"/>
                <w:szCs w:val="20"/>
              </w:rPr>
            </w:pPr>
          </w:p>
        </w:tc>
      </w:tr>
      <w:tr w:rsidR="00B04AAC" w:rsidRPr="004638EC" w:rsidTr="00181CB8">
        <w:trPr>
          <w:trHeight w:val="300"/>
        </w:trPr>
        <w:tc>
          <w:tcPr>
            <w:tcW w:w="4000" w:type="dxa"/>
            <w:noWrap/>
            <w:hideMark/>
          </w:tcPr>
          <w:p w:rsidR="00B04AAC" w:rsidRPr="004638EC" w:rsidRDefault="008D49F2" w:rsidP="005F209F">
            <w:pPr>
              <w:rPr>
                <w:sz w:val="20"/>
                <w:szCs w:val="20"/>
              </w:rPr>
            </w:pPr>
            <w:r>
              <w:rPr>
                <w:sz w:val="20"/>
                <w:szCs w:val="20"/>
              </w:rPr>
              <w:t>Options 1&amp;2</w:t>
            </w:r>
            <w:r w:rsidRPr="004638EC">
              <w:rPr>
                <w:sz w:val="20"/>
                <w:szCs w:val="20"/>
              </w:rPr>
              <w:t xml:space="preserve"> (policy plus 5%)</w:t>
            </w:r>
          </w:p>
        </w:tc>
        <w:tc>
          <w:tcPr>
            <w:tcW w:w="960" w:type="dxa"/>
            <w:noWrap/>
            <w:vAlign w:val="center"/>
            <w:hideMark/>
          </w:tcPr>
          <w:p w:rsidR="00B04AAC" w:rsidRPr="004638EC" w:rsidRDefault="00B04AAC" w:rsidP="005F209F">
            <w:pPr>
              <w:jc w:val="right"/>
              <w:rPr>
                <w:sz w:val="20"/>
                <w:szCs w:val="20"/>
              </w:rPr>
            </w:pPr>
            <w:r w:rsidRPr="004638EC">
              <w:rPr>
                <w:sz w:val="20"/>
                <w:szCs w:val="20"/>
              </w:rPr>
              <w:t>£0.00</w:t>
            </w:r>
          </w:p>
        </w:tc>
        <w:tc>
          <w:tcPr>
            <w:tcW w:w="960" w:type="dxa"/>
            <w:noWrap/>
            <w:vAlign w:val="center"/>
            <w:hideMark/>
          </w:tcPr>
          <w:p w:rsidR="00B04AAC" w:rsidRPr="004638EC" w:rsidRDefault="00B04AAC" w:rsidP="005F209F">
            <w:pPr>
              <w:jc w:val="right"/>
              <w:rPr>
                <w:sz w:val="20"/>
                <w:szCs w:val="20"/>
              </w:rPr>
            </w:pPr>
            <w:r w:rsidRPr="004638EC">
              <w:rPr>
                <w:sz w:val="20"/>
                <w:szCs w:val="20"/>
              </w:rPr>
              <w:t>£8.70</w:t>
            </w:r>
          </w:p>
        </w:tc>
        <w:tc>
          <w:tcPr>
            <w:tcW w:w="960" w:type="dxa"/>
            <w:noWrap/>
            <w:vAlign w:val="center"/>
            <w:hideMark/>
          </w:tcPr>
          <w:p w:rsidR="00B04AAC" w:rsidRPr="004638EC" w:rsidRDefault="00B04AAC" w:rsidP="005F209F">
            <w:pPr>
              <w:jc w:val="right"/>
              <w:rPr>
                <w:sz w:val="20"/>
                <w:szCs w:val="20"/>
              </w:rPr>
            </w:pPr>
            <w:r w:rsidRPr="004638EC">
              <w:rPr>
                <w:sz w:val="20"/>
                <w:szCs w:val="20"/>
              </w:rPr>
              <w:t>£10.65</w:t>
            </w:r>
          </w:p>
        </w:tc>
        <w:tc>
          <w:tcPr>
            <w:tcW w:w="1058" w:type="dxa"/>
            <w:noWrap/>
            <w:vAlign w:val="center"/>
            <w:hideMark/>
          </w:tcPr>
          <w:p w:rsidR="00B04AAC" w:rsidRPr="004638EC" w:rsidRDefault="00B04AAC" w:rsidP="005F209F">
            <w:pPr>
              <w:jc w:val="right"/>
              <w:rPr>
                <w:sz w:val="20"/>
                <w:szCs w:val="20"/>
              </w:rPr>
            </w:pPr>
            <w:r w:rsidRPr="004638EC">
              <w:rPr>
                <w:sz w:val="20"/>
                <w:szCs w:val="20"/>
              </w:rPr>
              <w:t>n/a</w:t>
            </w:r>
          </w:p>
        </w:tc>
        <w:tc>
          <w:tcPr>
            <w:tcW w:w="1440" w:type="dxa"/>
            <w:noWrap/>
            <w:vAlign w:val="center"/>
            <w:hideMark/>
          </w:tcPr>
          <w:p w:rsidR="00B04AAC" w:rsidRPr="004638EC" w:rsidRDefault="00B04AAC" w:rsidP="005F209F">
            <w:pPr>
              <w:jc w:val="right"/>
              <w:rPr>
                <w:sz w:val="20"/>
                <w:szCs w:val="20"/>
              </w:rPr>
            </w:pPr>
            <w:r w:rsidRPr="004638EC">
              <w:rPr>
                <w:sz w:val="20"/>
                <w:szCs w:val="20"/>
              </w:rPr>
              <w:t>0%</w:t>
            </w:r>
          </w:p>
        </w:tc>
      </w:tr>
      <w:tr w:rsidR="00B04AAC" w:rsidRPr="004638EC" w:rsidTr="00181CB8">
        <w:trPr>
          <w:trHeight w:val="300"/>
        </w:trPr>
        <w:tc>
          <w:tcPr>
            <w:tcW w:w="4000" w:type="dxa"/>
            <w:noWrap/>
            <w:hideMark/>
          </w:tcPr>
          <w:p w:rsidR="00B04AAC" w:rsidRPr="004638EC" w:rsidRDefault="00515157" w:rsidP="005F209F">
            <w:pPr>
              <w:rPr>
                <w:sz w:val="20"/>
                <w:szCs w:val="20"/>
              </w:rPr>
            </w:pPr>
            <w:r>
              <w:rPr>
                <w:sz w:val="20"/>
                <w:szCs w:val="20"/>
              </w:rPr>
              <w:t>Option 3</w:t>
            </w:r>
            <w:r w:rsidR="00B04AAC" w:rsidRPr="004638EC">
              <w:rPr>
                <w:sz w:val="20"/>
                <w:szCs w:val="20"/>
              </w:rPr>
              <w:t xml:space="preserve"> (policy plus 10%)</w:t>
            </w:r>
          </w:p>
        </w:tc>
        <w:tc>
          <w:tcPr>
            <w:tcW w:w="960" w:type="dxa"/>
            <w:noWrap/>
            <w:vAlign w:val="center"/>
            <w:hideMark/>
          </w:tcPr>
          <w:p w:rsidR="00B04AAC" w:rsidRPr="004638EC" w:rsidRDefault="00B04AAC" w:rsidP="005F209F">
            <w:pPr>
              <w:jc w:val="right"/>
              <w:rPr>
                <w:sz w:val="20"/>
                <w:szCs w:val="20"/>
              </w:rPr>
            </w:pPr>
            <w:r w:rsidRPr="004638EC">
              <w:rPr>
                <w:sz w:val="20"/>
                <w:szCs w:val="20"/>
              </w:rPr>
              <w:t>£0.00</w:t>
            </w:r>
          </w:p>
        </w:tc>
        <w:tc>
          <w:tcPr>
            <w:tcW w:w="960" w:type="dxa"/>
            <w:noWrap/>
            <w:vAlign w:val="center"/>
            <w:hideMark/>
          </w:tcPr>
          <w:p w:rsidR="00B04AAC" w:rsidRPr="004638EC" w:rsidRDefault="00B04AAC" w:rsidP="005F209F">
            <w:pPr>
              <w:jc w:val="right"/>
              <w:rPr>
                <w:sz w:val="20"/>
                <w:szCs w:val="20"/>
              </w:rPr>
            </w:pPr>
            <w:r w:rsidRPr="004638EC">
              <w:rPr>
                <w:sz w:val="20"/>
                <w:szCs w:val="20"/>
              </w:rPr>
              <w:t>£9.10</w:t>
            </w:r>
          </w:p>
        </w:tc>
        <w:tc>
          <w:tcPr>
            <w:tcW w:w="960" w:type="dxa"/>
            <w:noWrap/>
            <w:vAlign w:val="center"/>
            <w:hideMark/>
          </w:tcPr>
          <w:p w:rsidR="00B04AAC" w:rsidRPr="004638EC" w:rsidRDefault="00B04AAC" w:rsidP="005F209F">
            <w:pPr>
              <w:jc w:val="right"/>
              <w:rPr>
                <w:sz w:val="20"/>
                <w:szCs w:val="20"/>
              </w:rPr>
            </w:pPr>
            <w:r w:rsidRPr="004638EC">
              <w:rPr>
                <w:sz w:val="20"/>
                <w:szCs w:val="20"/>
              </w:rPr>
              <w:t>£13.35</w:t>
            </w:r>
          </w:p>
        </w:tc>
        <w:tc>
          <w:tcPr>
            <w:tcW w:w="1058" w:type="dxa"/>
            <w:noWrap/>
            <w:vAlign w:val="center"/>
            <w:hideMark/>
          </w:tcPr>
          <w:p w:rsidR="00B04AAC" w:rsidRPr="004638EC" w:rsidRDefault="00B04AAC" w:rsidP="005F209F">
            <w:pPr>
              <w:jc w:val="right"/>
              <w:rPr>
                <w:sz w:val="20"/>
                <w:szCs w:val="20"/>
              </w:rPr>
            </w:pPr>
            <w:r w:rsidRPr="004638EC">
              <w:rPr>
                <w:sz w:val="20"/>
                <w:szCs w:val="20"/>
              </w:rPr>
              <w:t>n/a</w:t>
            </w:r>
          </w:p>
        </w:tc>
        <w:tc>
          <w:tcPr>
            <w:tcW w:w="1440" w:type="dxa"/>
            <w:noWrap/>
            <w:vAlign w:val="center"/>
            <w:hideMark/>
          </w:tcPr>
          <w:p w:rsidR="00B04AAC" w:rsidRPr="004638EC" w:rsidRDefault="00B04AAC" w:rsidP="005F209F">
            <w:pPr>
              <w:jc w:val="right"/>
              <w:rPr>
                <w:sz w:val="20"/>
                <w:szCs w:val="20"/>
              </w:rPr>
            </w:pPr>
            <w:r w:rsidRPr="004638EC">
              <w:rPr>
                <w:sz w:val="20"/>
                <w:szCs w:val="20"/>
              </w:rPr>
              <w:t>25%</w:t>
            </w:r>
          </w:p>
        </w:tc>
      </w:tr>
      <w:tr w:rsidR="00B04AAC" w:rsidRPr="004638EC" w:rsidTr="00181CB8">
        <w:trPr>
          <w:trHeight w:val="300"/>
        </w:trPr>
        <w:tc>
          <w:tcPr>
            <w:tcW w:w="4000" w:type="dxa"/>
            <w:noWrap/>
            <w:hideMark/>
          </w:tcPr>
          <w:p w:rsidR="00B04AAC" w:rsidRPr="004638EC" w:rsidRDefault="00515157" w:rsidP="005F209F">
            <w:pPr>
              <w:rPr>
                <w:sz w:val="20"/>
                <w:szCs w:val="20"/>
              </w:rPr>
            </w:pPr>
            <w:r>
              <w:rPr>
                <w:sz w:val="20"/>
                <w:szCs w:val="20"/>
              </w:rPr>
              <w:t>Option 4</w:t>
            </w:r>
            <w:r w:rsidR="00B04AAC" w:rsidRPr="004638EC">
              <w:rPr>
                <w:sz w:val="20"/>
                <w:szCs w:val="20"/>
              </w:rPr>
              <w:t xml:space="preserve"> (savings plus 10%)</w:t>
            </w:r>
          </w:p>
        </w:tc>
        <w:tc>
          <w:tcPr>
            <w:tcW w:w="960" w:type="dxa"/>
            <w:noWrap/>
            <w:vAlign w:val="center"/>
            <w:hideMark/>
          </w:tcPr>
          <w:p w:rsidR="00B04AAC" w:rsidRPr="004638EC" w:rsidRDefault="00B04AAC" w:rsidP="005F209F">
            <w:pPr>
              <w:jc w:val="right"/>
              <w:rPr>
                <w:sz w:val="20"/>
                <w:szCs w:val="20"/>
              </w:rPr>
            </w:pPr>
            <w:r w:rsidRPr="004638EC">
              <w:rPr>
                <w:sz w:val="20"/>
                <w:szCs w:val="20"/>
              </w:rPr>
              <w:t>£0.00</w:t>
            </w:r>
          </w:p>
        </w:tc>
        <w:tc>
          <w:tcPr>
            <w:tcW w:w="960" w:type="dxa"/>
            <w:noWrap/>
            <w:vAlign w:val="center"/>
            <w:hideMark/>
          </w:tcPr>
          <w:p w:rsidR="00B04AAC" w:rsidRPr="004638EC" w:rsidRDefault="00B04AAC" w:rsidP="005F209F">
            <w:pPr>
              <w:jc w:val="right"/>
              <w:rPr>
                <w:sz w:val="20"/>
                <w:szCs w:val="20"/>
              </w:rPr>
            </w:pPr>
            <w:r w:rsidRPr="004638EC">
              <w:rPr>
                <w:sz w:val="20"/>
                <w:szCs w:val="20"/>
              </w:rPr>
              <w:t>£11.50</w:t>
            </w:r>
          </w:p>
        </w:tc>
        <w:tc>
          <w:tcPr>
            <w:tcW w:w="960" w:type="dxa"/>
            <w:noWrap/>
            <w:vAlign w:val="center"/>
            <w:hideMark/>
          </w:tcPr>
          <w:p w:rsidR="00B04AAC" w:rsidRPr="004638EC" w:rsidRDefault="00B04AAC" w:rsidP="005F209F">
            <w:pPr>
              <w:jc w:val="right"/>
              <w:rPr>
                <w:sz w:val="20"/>
                <w:szCs w:val="20"/>
              </w:rPr>
            </w:pPr>
            <w:r w:rsidRPr="004638EC">
              <w:rPr>
                <w:sz w:val="20"/>
                <w:szCs w:val="20"/>
              </w:rPr>
              <w:t>£16.85</w:t>
            </w:r>
          </w:p>
        </w:tc>
        <w:tc>
          <w:tcPr>
            <w:tcW w:w="1058" w:type="dxa"/>
            <w:noWrap/>
            <w:vAlign w:val="center"/>
            <w:hideMark/>
          </w:tcPr>
          <w:p w:rsidR="00B04AAC" w:rsidRPr="004638EC" w:rsidRDefault="00B04AAC" w:rsidP="005F209F">
            <w:pPr>
              <w:jc w:val="right"/>
              <w:rPr>
                <w:sz w:val="20"/>
                <w:szCs w:val="20"/>
              </w:rPr>
            </w:pPr>
            <w:r w:rsidRPr="004638EC">
              <w:rPr>
                <w:sz w:val="20"/>
                <w:szCs w:val="20"/>
              </w:rPr>
              <w:t>n/a</w:t>
            </w:r>
          </w:p>
        </w:tc>
        <w:tc>
          <w:tcPr>
            <w:tcW w:w="1440" w:type="dxa"/>
            <w:noWrap/>
            <w:vAlign w:val="center"/>
            <w:hideMark/>
          </w:tcPr>
          <w:p w:rsidR="00B04AAC" w:rsidRPr="004638EC" w:rsidRDefault="00B04AAC" w:rsidP="005F209F">
            <w:pPr>
              <w:jc w:val="right"/>
              <w:rPr>
                <w:sz w:val="20"/>
                <w:szCs w:val="20"/>
              </w:rPr>
            </w:pPr>
            <w:r w:rsidRPr="004638EC">
              <w:rPr>
                <w:sz w:val="20"/>
                <w:szCs w:val="20"/>
              </w:rPr>
              <w:t>58%</w:t>
            </w:r>
          </w:p>
        </w:tc>
      </w:tr>
    </w:tbl>
    <w:p w:rsidR="00FC27AD" w:rsidRDefault="00B04AAC" w:rsidP="00FC27AD">
      <w:pPr>
        <w:rPr>
          <w:b/>
        </w:rPr>
      </w:pPr>
      <w:r>
        <w:rPr>
          <w:b/>
        </w:rPr>
        <w:fldChar w:fldCharType="end"/>
      </w:r>
    </w:p>
    <w:p w:rsidR="00813F15" w:rsidRDefault="00813F15" w:rsidP="00B04AAC">
      <w:pPr>
        <w:rPr>
          <w:b/>
        </w:rPr>
      </w:pPr>
    </w:p>
    <w:p w:rsidR="00515157" w:rsidRDefault="008D49F2" w:rsidP="00B04AAC">
      <w:pPr>
        <w:rPr>
          <w:b/>
          <w:noProof/>
          <w:lang w:eastAsia="en-GB"/>
        </w:rPr>
      </w:pPr>
      <w:r>
        <w:rPr>
          <w:noProof/>
          <w:lang w:eastAsia="en-GB"/>
        </w:rPr>
        <w:drawing>
          <wp:inline distT="0" distB="0" distL="0" distR="0" wp14:anchorId="64A38B47" wp14:editId="68FA4539">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49F2" w:rsidRDefault="008D49F2" w:rsidP="00B04AAC">
      <w:pPr>
        <w:rPr>
          <w:b/>
          <w:noProof/>
          <w:lang w:eastAsia="en-GB"/>
        </w:rPr>
      </w:pPr>
    </w:p>
    <w:p w:rsidR="00C70C0A" w:rsidRDefault="008D49F2" w:rsidP="00B04AAC">
      <w:pPr>
        <w:rPr>
          <w:b/>
        </w:rPr>
      </w:pPr>
      <w:r>
        <w:rPr>
          <w:noProof/>
          <w:lang w:eastAsia="en-GB"/>
        </w:rPr>
        <w:drawing>
          <wp:inline distT="0" distB="0" distL="0" distR="0" wp14:anchorId="40969B9E" wp14:editId="712D3BA5">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49F2" w:rsidRDefault="008D49F2" w:rsidP="00B04AAC">
      <w:pPr>
        <w:rPr>
          <w:b/>
        </w:rPr>
      </w:pPr>
    </w:p>
    <w:p w:rsidR="00B44DD1" w:rsidRDefault="008D49F2" w:rsidP="00C70C0A">
      <w:pPr>
        <w:rPr>
          <w:b/>
        </w:rPr>
      </w:pPr>
      <w:r>
        <w:rPr>
          <w:noProof/>
          <w:lang w:eastAsia="en-GB"/>
        </w:rPr>
        <w:drawing>
          <wp:inline distT="0" distB="0" distL="0" distR="0" wp14:anchorId="2DDDAF6A" wp14:editId="72D147BF">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71AA" w:rsidRPr="00F971AA" w:rsidRDefault="00F971AA" w:rsidP="00C70C0A">
      <w:pPr>
        <w:rPr>
          <w:b/>
        </w:rPr>
      </w:pPr>
      <w:r>
        <w:rPr>
          <w:b/>
        </w:rPr>
        <w:t>6.4</w:t>
      </w:r>
      <w:r>
        <w:rPr>
          <w:b/>
        </w:rPr>
        <w:tab/>
      </w:r>
      <w:r w:rsidRPr="00F971AA">
        <w:rPr>
          <w:b/>
        </w:rPr>
        <w:t>Income Projections</w:t>
      </w:r>
    </w:p>
    <w:p w:rsidR="00F971AA" w:rsidRDefault="00F971AA" w:rsidP="00C70C0A"/>
    <w:p w:rsidR="00C70C0A" w:rsidRDefault="00F14396" w:rsidP="00C70C0A">
      <w:r w:rsidRPr="00333A4A">
        <w:t xml:space="preserve">The graph below shows the relative income projections for each of the four options. </w:t>
      </w:r>
      <w:r w:rsidR="003703D5">
        <w:t xml:space="preserve">Option 4 matches the current income budget increased by the outstanding </w:t>
      </w:r>
      <w:r w:rsidRPr="00F14396">
        <w:t>saving (£182,029)</w:t>
      </w:r>
      <w:r w:rsidR="00310EC1">
        <w:t xml:space="preserve"> giving an</w:t>
      </w:r>
      <w:r w:rsidR="003703D5">
        <w:t xml:space="preserve"> 18/19</w:t>
      </w:r>
      <w:r w:rsidR="00310EC1">
        <w:t xml:space="preserve"> income budget of £390,</w:t>
      </w:r>
      <w:r w:rsidR="00181CB8">
        <w:t>526</w:t>
      </w:r>
      <w:r w:rsidRPr="00F14396">
        <w:t>, which is then increased by 10%, in line with the current default increase for fees.</w:t>
      </w:r>
      <w:r w:rsidR="00C70C0A" w:rsidRPr="00C70C0A">
        <w:t xml:space="preserve"> </w:t>
      </w:r>
    </w:p>
    <w:p w:rsidR="005A297A" w:rsidRDefault="005A297A" w:rsidP="002C7401"/>
    <w:p w:rsidR="004D0DCD" w:rsidRDefault="00D4060D" w:rsidP="002C7401">
      <w:pPr>
        <w:rPr>
          <w:b/>
        </w:rPr>
      </w:pPr>
      <w:r>
        <w:rPr>
          <w:b/>
          <w:noProof/>
          <w:lang w:eastAsia="en-GB"/>
        </w:rPr>
        <w:drawing>
          <wp:inline distT="0" distB="0" distL="0" distR="0" wp14:anchorId="181B1705">
            <wp:extent cx="5974494" cy="3902359"/>
            <wp:effectExtent l="0" t="0" r="762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7970" cy="3904629"/>
                    </a:xfrm>
                    <a:prstGeom prst="rect">
                      <a:avLst/>
                    </a:prstGeom>
                    <a:noFill/>
                  </pic:spPr>
                </pic:pic>
              </a:graphicData>
            </a:graphic>
          </wp:inline>
        </w:drawing>
      </w:r>
    </w:p>
    <w:p w:rsidR="00B04AAC" w:rsidRDefault="00B04AAC" w:rsidP="002C7401"/>
    <w:p w:rsidR="00E232CA" w:rsidRDefault="00332650" w:rsidP="002C7401">
      <w:r>
        <w:t>The table below relates</w:t>
      </w:r>
      <w:r w:rsidR="003F3D05">
        <w:t xml:space="preserve"> those</w:t>
      </w:r>
      <w:r w:rsidR="00E232CA">
        <w:t xml:space="preserve"> projections to the outstanding savings target.</w:t>
      </w:r>
    </w:p>
    <w:p w:rsidR="00E232CA" w:rsidRDefault="00E232CA" w:rsidP="002C7401"/>
    <w:p w:rsidR="005A5D58" w:rsidRDefault="005A5D58" w:rsidP="005A5D58">
      <w:r>
        <w:t>Contribution to savings</w:t>
      </w:r>
      <w:r w:rsidR="00E232CA">
        <w:t xml:space="preserve"> (assumes 16/17 volumes maintained) </w:t>
      </w:r>
    </w:p>
    <w:tbl>
      <w:tblPr>
        <w:tblStyle w:val="TableGrid"/>
        <w:tblW w:w="9558" w:type="dxa"/>
        <w:tblLayout w:type="fixed"/>
        <w:tblLook w:val="04A0" w:firstRow="1" w:lastRow="0" w:firstColumn="1" w:lastColumn="0" w:noHBand="0" w:noVBand="1"/>
      </w:tblPr>
      <w:tblGrid>
        <w:gridCol w:w="1008"/>
        <w:gridCol w:w="1170"/>
        <w:gridCol w:w="1530"/>
        <w:gridCol w:w="5850"/>
      </w:tblGrid>
      <w:tr w:rsidR="00E232CA" w:rsidRPr="005F2040" w:rsidTr="005F2040">
        <w:tc>
          <w:tcPr>
            <w:tcW w:w="1008" w:type="dxa"/>
          </w:tcPr>
          <w:p w:rsidR="00E232CA" w:rsidRPr="005F2040" w:rsidRDefault="00E232CA" w:rsidP="003703D5">
            <w:pPr>
              <w:spacing w:line="276" w:lineRule="auto"/>
              <w:rPr>
                <w:b/>
                <w:sz w:val="20"/>
              </w:rPr>
            </w:pPr>
            <w:r w:rsidRPr="005F2040">
              <w:rPr>
                <w:b/>
                <w:sz w:val="20"/>
              </w:rPr>
              <w:t>Option</w:t>
            </w:r>
          </w:p>
        </w:tc>
        <w:tc>
          <w:tcPr>
            <w:tcW w:w="1170" w:type="dxa"/>
          </w:tcPr>
          <w:p w:rsidR="00E232CA" w:rsidRPr="005F2040" w:rsidRDefault="00E232CA" w:rsidP="003703D5">
            <w:pPr>
              <w:spacing w:line="276" w:lineRule="auto"/>
              <w:rPr>
                <w:b/>
                <w:sz w:val="20"/>
              </w:rPr>
            </w:pPr>
            <w:r w:rsidRPr="005F2040">
              <w:rPr>
                <w:b/>
                <w:sz w:val="20"/>
              </w:rPr>
              <w:t>Increased income</w:t>
            </w:r>
          </w:p>
        </w:tc>
        <w:tc>
          <w:tcPr>
            <w:tcW w:w="1530" w:type="dxa"/>
          </w:tcPr>
          <w:p w:rsidR="00E232CA" w:rsidRPr="005F2040" w:rsidRDefault="00E232CA" w:rsidP="003703D5">
            <w:pPr>
              <w:spacing w:line="276" w:lineRule="auto"/>
              <w:rPr>
                <w:b/>
                <w:sz w:val="20"/>
              </w:rPr>
            </w:pPr>
            <w:r w:rsidRPr="005F2040">
              <w:rPr>
                <w:b/>
                <w:sz w:val="20"/>
              </w:rPr>
              <w:t>Saving gap</w:t>
            </w:r>
          </w:p>
          <w:p w:rsidR="00E232CA" w:rsidRPr="005F2040" w:rsidRDefault="00E232CA" w:rsidP="003703D5">
            <w:pPr>
              <w:spacing w:line="276" w:lineRule="auto"/>
              <w:rPr>
                <w:b/>
                <w:sz w:val="20"/>
              </w:rPr>
            </w:pPr>
            <w:r w:rsidRPr="005F2040">
              <w:rPr>
                <w:b/>
                <w:sz w:val="20"/>
              </w:rPr>
              <w:t xml:space="preserve"> (from £182K)</w:t>
            </w:r>
          </w:p>
        </w:tc>
        <w:tc>
          <w:tcPr>
            <w:tcW w:w="5850" w:type="dxa"/>
          </w:tcPr>
          <w:p w:rsidR="00E232CA" w:rsidRPr="005F2040" w:rsidRDefault="005F2040" w:rsidP="003703D5">
            <w:pPr>
              <w:spacing w:line="276" w:lineRule="auto"/>
              <w:rPr>
                <w:b/>
                <w:sz w:val="20"/>
              </w:rPr>
            </w:pPr>
            <w:r>
              <w:rPr>
                <w:b/>
                <w:sz w:val="20"/>
              </w:rPr>
              <w:t>Note</w:t>
            </w:r>
          </w:p>
        </w:tc>
      </w:tr>
      <w:tr w:rsidR="00E232CA" w:rsidTr="005F2040">
        <w:tc>
          <w:tcPr>
            <w:tcW w:w="1008" w:type="dxa"/>
          </w:tcPr>
          <w:p w:rsidR="00E232CA" w:rsidRPr="00E232CA" w:rsidRDefault="00E232CA" w:rsidP="003703D5">
            <w:pPr>
              <w:spacing w:line="276" w:lineRule="auto"/>
              <w:rPr>
                <w:sz w:val="20"/>
              </w:rPr>
            </w:pPr>
            <w:r w:rsidRPr="00E232CA">
              <w:rPr>
                <w:sz w:val="20"/>
              </w:rPr>
              <w:t>Option 2</w:t>
            </w:r>
          </w:p>
        </w:tc>
        <w:tc>
          <w:tcPr>
            <w:tcW w:w="1170" w:type="dxa"/>
          </w:tcPr>
          <w:p w:rsidR="00E232CA" w:rsidRPr="00E232CA" w:rsidRDefault="00E232CA" w:rsidP="003703D5">
            <w:pPr>
              <w:spacing w:line="276" w:lineRule="auto"/>
              <w:jc w:val="right"/>
              <w:rPr>
                <w:sz w:val="20"/>
              </w:rPr>
            </w:pPr>
            <w:r w:rsidRPr="00E232CA">
              <w:rPr>
                <w:sz w:val="20"/>
              </w:rPr>
              <w:t>£66K</w:t>
            </w:r>
          </w:p>
        </w:tc>
        <w:tc>
          <w:tcPr>
            <w:tcW w:w="1530" w:type="dxa"/>
          </w:tcPr>
          <w:p w:rsidR="00E232CA" w:rsidRPr="00E232CA" w:rsidRDefault="00E232CA" w:rsidP="003703D5">
            <w:pPr>
              <w:spacing w:line="276" w:lineRule="auto"/>
              <w:jc w:val="right"/>
              <w:rPr>
                <w:sz w:val="20"/>
              </w:rPr>
            </w:pPr>
            <w:r w:rsidRPr="00E232CA">
              <w:rPr>
                <w:sz w:val="20"/>
              </w:rPr>
              <w:t>£116K</w:t>
            </w:r>
          </w:p>
        </w:tc>
        <w:tc>
          <w:tcPr>
            <w:tcW w:w="5850" w:type="dxa"/>
          </w:tcPr>
          <w:p w:rsidR="00E232CA" w:rsidRPr="00E232CA" w:rsidRDefault="00E232CA" w:rsidP="003703D5">
            <w:pPr>
              <w:spacing w:line="276" w:lineRule="auto"/>
              <w:rPr>
                <w:sz w:val="20"/>
              </w:rPr>
            </w:pPr>
            <w:r w:rsidRPr="00E232CA">
              <w:rPr>
                <w:sz w:val="20"/>
              </w:rPr>
              <w:t xml:space="preserve">Most likely to be achieved, but well short of </w:t>
            </w:r>
            <w:r w:rsidR="00332650">
              <w:rPr>
                <w:sz w:val="20"/>
              </w:rPr>
              <w:t>achieving savings</w:t>
            </w:r>
          </w:p>
        </w:tc>
      </w:tr>
      <w:tr w:rsidR="00E232CA" w:rsidTr="005F2040">
        <w:tc>
          <w:tcPr>
            <w:tcW w:w="1008" w:type="dxa"/>
          </w:tcPr>
          <w:p w:rsidR="00E232CA" w:rsidRPr="00E232CA" w:rsidRDefault="00E232CA" w:rsidP="003703D5">
            <w:pPr>
              <w:spacing w:line="276" w:lineRule="auto"/>
              <w:rPr>
                <w:sz w:val="20"/>
              </w:rPr>
            </w:pPr>
            <w:r w:rsidRPr="00E232CA">
              <w:rPr>
                <w:sz w:val="20"/>
              </w:rPr>
              <w:t>Option 3</w:t>
            </w:r>
          </w:p>
        </w:tc>
        <w:tc>
          <w:tcPr>
            <w:tcW w:w="1170" w:type="dxa"/>
          </w:tcPr>
          <w:p w:rsidR="00E232CA" w:rsidRPr="00E232CA" w:rsidRDefault="00E232CA" w:rsidP="003703D5">
            <w:pPr>
              <w:spacing w:line="276" w:lineRule="auto"/>
              <w:jc w:val="right"/>
              <w:rPr>
                <w:sz w:val="20"/>
              </w:rPr>
            </w:pPr>
            <w:r w:rsidRPr="00E232CA">
              <w:rPr>
                <w:sz w:val="20"/>
              </w:rPr>
              <w:t>£80K</w:t>
            </w:r>
          </w:p>
        </w:tc>
        <w:tc>
          <w:tcPr>
            <w:tcW w:w="1530" w:type="dxa"/>
          </w:tcPr>
          <w:p w:rsidR="00E232CA" w:rsidRPr="00E232CA" w:rsidRDefault="00E232CA" w:rsidP="003703D5">
            <w:pPr>
              <w:spacing w:line="276" w:lineRule="auto"/>
              <w:jc w:val="right"/>
              <w:rPr>
                <w:sz w:val="20"/>
              </w:rPr>
            </w:pPr>
            <w:r w:rsidRPr="00E232CA">
              <w:rPr>
                <w:sz w:val="20"/>
              </w:rPr>
              <w:t>£102K</w:t>
            </w:r>
          </w:p>
        </w:tc>
        <w:tc>
          <w:tcPr>
            <w:tcW w:w="5850" w:type="dxa"/>
          </w:tcPr>
          <w:p w:rsidR="00E232CA" w:rsidRPr="00E232CA" w:rsidRDefault="00332650" w:rsidP="003703D5">
            <w:pPr>
              <w:spacing w:line="276" w:lineRule="auto"/>
              <w:rPr>
                <w:sz w:val="20"/>
              </w:rPr>
            </w:pPr>
            <w:r>
              <w:rPr>
                <w:sz w:val="20"/>
              </w:rPr>
              <w:t>Increased projected income, but not competitive</w:t>
            </w:r>
          </w:p>
        </w:tc>
      </w:tr>
      <w:tr w:rsidR="00E232CA" w:rsidTr="005F2040">
        <w:tc>
          <w:tcPr>
            <w:tcW w:w="1008" w:type="dxa"/>
          </w:tcPr>
          <w:p w:rsidR="00E232CA" w:rsidRPr="00E232CA" w:rsidRDefault="00E232CA" w:rsidP="003703D5">
            <w:pPr>
              <w:spacing w:line="276" w:lineRule="auto"/>
              <w:rPr>
                <w:sz w:val="20"/>
              </w:rPr>
            </w:pPr>
            <w:r w:rsidRPr="00E232CA">
              <w:rPr>
                <w:sz w:val="20"/>
              </w:rPr>
              <w:t>Option 4</w:t>
            </w:r>
          </w:p>
        </w:tc>
        <w:tc>
          <w:tcPr>
            <w:tcW w:w="1170" w:type="dxa"/>
          </w:tcPr>
          <w:p w:rsidR="00E232CA" w:rsidRPr="00E232CA" w:rsidRDefault="00E232CA" w:rsidP="003703D5">
            <w:pPr>
              <w:spacing w:line="276" w:lineRule="auto"/>
              <w:jc w:val="right"/>
              <w:rPr>
                <w:sz w:val="20"/>
              </w:rPr>
            </w:pPr>
            <w:r w:rsidRPr="00E232CA">
              <w:rPr>
                <w:sz w:val="20"/>
              </w:rPr>
              <w:t>£182</w:t>
            </w:r>
            <w:r w:rsidR="003F3D05">
              <w:rPr>
                <w:sz w:val="20"/>
              </w:rPr>
              <w:t>K</w:t>
            </w:r>
          </w:p>
        </w:tc>
        <w:tc>
          <w:tcPr>
            <w:tcW w:w="1530" w:type="dxa"/>
          </w:tcPr>
          <w:p w:rsidR="00E232CA" w:rsidRPr="00E232CA" w:rsidRDefault="00E232CA" w:rsidP="003703D5">
            <w:pPr>
              <w:spacing w:line="276" w:lineRule="auto"/>
              <w:jc w:val="right"/>
              <w:rPr>
                <w:sz w:val="20"/>
              </w:rPr>
            </w:pPr>
            <w:r w:rsidRPr="00E232CA">
              <w:rPr>
                <w:sz w:val="20"/>
              </w:rPr>
              <w:t>£0</w:t>
            </w:r>
          </w:p>
        </w:tc>
        <w:tc>
          <w:tcPr>
            <w:tcW w:w="5850" w:type="dxa"/>
          </w:tcPr>
          <w:p w:rsidR="00E232CA" w:rsidRPr="00E232CA" w:rsidRDefault="00E232CA" w:rsidP="003703D5">
            <w:pPr>
              <w:spacing w:line="276" w:lineRule="auto"/>
              <w:rPr>
                <w:sz w:val="20"/>
              </w:rPr>
            </w:pPr>
            <w:r w:rsidRPr="00E232CA">
              <w:rPr>
                <w:sz w:val="20"/>
              </w:rPr>
              <w:t>Highly unlikely this income will be achieved as 39%</w:t>
            </w:r>
            <w:r>
              <w:rPr>
                <w:sz w:val="20"/>
              </w:rPr>
              <w:t xml:space="preserve"> 18/19 price rise</w:t>
            </w:r>
            <w:r w:rsidRPr="00E232CA">
              <w:rPr>
                <w:sz w:val="20"/>
              </w:rPr>
              <w:t xml:space="preserve"> will impact volumes</w:t>
            </w:r>
          </w:p>
        </w:tc>
      </w:tr>
    </w:tbl>
    <w:p w:rsidR="005A5D58" w:rsidRDefault="005A5D58" w:rsidP="005A5D58"/>
    <w:p w:rsidR="005A5D58" w:rsidRDefault="005A5D58" w:rsidP="005A5D58">
      <w:r>
        <w:t>Option 1 is the projected income from PPP schools only with prices increased at 10% per year. The reduced income</w:t>
      </w:r>
      <w:r w:rsidR="00EC5941">
        <w:t xml:space="preserve"> received by reducing the venues</w:t>
      </w:r>
      <w:r>
        <w:t xml:space="preserve"> available for lets increases the deficit in the income budget and although not opening non-PPP schools would create some cashable saving</w:t>
      </w:r>
      <w:r w:rsidR="003703D5">
        <w:t>s, these would be limited as</w:t>
      </w:r>
      <w:r>
        <w:t xml:space="preserve"> freed resources would </w:t>
      </w:r>
      <w:r w:rsidR="003703D5">
        <w:t>be directed elsewhere i.e.</w:t>
      </w:r>
      <w:r>
        <w:t xml:space="preserve"> rollout of FM and Management of Schools. Detailed analysis not possible until rollout of FM completed.</w:t>
      </w:r>
    </w:p>
    <w:p w:rsidR="003F3D05" w:rsidRDefault="003F3D05" w:rsidP="00B04AAC"/>
    <w:p w:rsidR="00181CB8" w:rsidRDefault="00A47275" w:rsidP="00B04AAC">
      <w:r>
        <w:t>Option</w:t>
      </w:r>
      <w:r w:rsidR="00291A36">
        <w:t xml:space="preserve"> 2</w:t>
      </w:r>
      <w:r>
        <w:t xml:space="preserve"> is based on the 2009 policy with some amendments to the pr</w:t>
      </w:r>
      <w:r w:rsidR="00386DB3">
        <w:t>icing structure (See section 4.5</w:t>
      </w:r>
      <w:r>
        <w:t>)</w:t>
      </w:r>
      <w:r w:rsidR="00181CB8">
        <w:t>, removal of free lets</w:t>
      </w:r>
      <w:r w:rsidR="00B04AAC">
        <w:t xml:space="preserve"> </w:t>
      </w:r>
      <w:r>
        <w:t>and year on year increases of 5% to 22/23. This option is the most likely to increase or at least maintain lets volumes as it is competitive</w:t>
      </w:r>
      <w:r w:rsidR="00B04AAC">
        <w:t xml:space="preserve"> in</w:t>
      </w:r>
      <w:r>
        <w:t xml:space="preserve"> </w:t>
      </w:r>
      <w:r w:rsidR="00B04AAC">
        <w:t>th</w:t>
      </w:r>
      <w:r>
        <w:t xml:space="preserve">e market </w:t>
      </w:r>
      <w:r w:rsidR="00B04AAC">
        <w:t xml:space="preserve">place </w:t>
      </w:r>
      <w:r>
        <w:t>alongside</w:t>
      </w:r>
      <w:r w:rsidR="00B04AAC">
        <w:t xml:space="preserve"> HL</w:t>
      </w:r>
      <w:r>
        <w:t>H</w:t>
      </w:r>
      <w:r w:rsidR="00386DB3">
        <w:t>,</w:t>
      </w:r>
      <w:r>
        <w:t xml:space="preserve"> other LAs and Highl</w:t>
      </w:r>
      <w:r w:rsidR="00B04AAC">
        <w:t>a</w:t>
      </w:r>
      <w:r>
        <w:t>n</w:t>
      </w:r>
      <w:r w:rsidR="00B04AAC">
        <w:t>d</w:t>
      </w:r>
      <w:r>
        <w:t xml:space="preserve"> pr</w:t>
      </w:r>
      <w:r w:rsidR="00B04AAC">
        <w:t>oviders</w:t>
      </w:r>
      <w:r>
        <w:t xml:space="preserve">. </w:t>
      </w:r>
      <w:r w:rsidR="00260A5E">
        <w:t>This option will</w:t>
      </w:r>
      <w:r w:rsidR="00621956">
        <w:t xml:space="preserve"> not mat</w:t>
      </w:r>
      <w:r w:rsidR="00181CB8">
        <w:t>ch t</w:t>
      </w:r>
      <w:r w:rsidR="00621956">
        <w:t xml:space="preserve">he </w:t>
      </w:r>
      <w:r w:rsidR="003703D5">
        <w:t xml:space="preserve">savings </w:t>
      </w:r>
      <w:r w:rsidR="00621956">
        <w:t>income target within the time</w:t>
      </w:r>
      <w:r w:rsidR="00181CB8">
        <w:t>frame to 22/23, and indeed never will if the income budget increases at 10%</w:t>
      </w:r>
      <w:r w:rsidR="003703D5">
        <w:t xml:space="preserve"> per year</w:t>
      </w:r>
      <w:r w:rsidR="00181CB8">
        <w:t xml:space="preserve">. </w:t>
      </w:r>
      <w:r w:rsidR="005A5D58">
        <w:t>However the increase in</w:t>
      </w:r>
      <w:r w:rsidR="00621956">
        <w:t xml:space="preserve"> income for</w:t>
      </w:r>
      <w:r w:rsidR="005A5D58">
        <w:t xml:space="preserve"> 18/19 at current volumes is £65K, achieving the £35K saving, and contributing approx. £30K towards the remaining £150K  </w:t>
      </w:r>
      <w:r w:rsidR="00260A5E">
        <w:t xml:space="preserve">This option is the only one which fulfils a strategic direction that seeks to compete in the market place. Furthermore, it has the potential to cover costs directly associated with lets (apart from utilities) particularly as these will reduce with lets concentrated in fewer premises and reduced overtime costs. This option is also </w:t>
      </w:r>
      <w:r w:rsidR="00386DB3">
        <w:t xml:space="preserve">the most likely to grow </w:t>
      </w:r>
      <w:r w:rsidR="003703D5">
        <w:t xml:space="preserve">lets </w:t>
      </w:r>
      <w:r w:rsidR="00386DB3">
        <w:t>volumes and income.</w:t>
      </w:r>
    </w:p>
    <w:p w:rsidR="00B04AAC" w:rsidRPr="004375B6" w:rsidRDefault="00B04AAC" w:rsidP="002C7401">
      <w:r>
        <w:t xml:space="preserve"> </w:t>
      </w:r>
      <w:r w:rsidRPr="00F14396">
        <w:t xml:space="preserve"> </w:t>
      </w:r>
    </w:p>
    <w:p w:rsidR="000F1930" w:rsidRDefault="00260A5E" w:rsidP="002C7401">
      <w:r>
        <w:t>The</w:t>
      </w:r>
      <w:r w:rsidR="00B04AAC">
        <w:t xml:space="preserve"> key con</w:t>
      </w:r>
      <w:r w:rsidR="00291A36">
        <w:t>cern with options 3</w:t>
      </w:r>
      <w:r w:rsidR="00205D90">
        <w:t xml:space="preserve"> and</w:t>
      </w:r>
      <w:r w:rsidR="00291A36">
        <w:t xml:space="preserve"> 4</w:t>
      </w:r>
      <w:r w:rsidR="00205D90">
        <w:t xml:space="preserve"> is the sensitivity of lets volumes to prices. The above projection</w:t>
      </w:r>
      <w:r w:rsidR="004375B6">
        <w:t>s a</w:t>
      </w:r>
      <w:r w:rsidR="00205D90">
        <w:t>s</w:t>
      </w:r>
      <w:r w:rsidR="004375B6">
        <w:t>sum</w:t>
      </w:r>
      <w:r w:rsidR="00205D90">
        <w:t>e that 2016/17 volumes wi</w:t>
      </w:r>
      <w:r w:rsidR="004375B6">
        <w:t>ll</w:t>
      </w:r>
      <w:r w:rsidR="00205D90">
        <w:t xml:space="preserve"> </w:t>
      </w:r>
      <w:r w:rsidR="004375B6">
        <w:t xml:space="preserve">be </w:t>
      </w:r>
      <w:r w:rsidR="00BE559E">
        <w:t>maintained</w:t>
      </w:r>
      <w:r w:rsidR="00205D90">
        <w:t xml:space="preserve"> whatever the price increase – this is </w:t>
      </w:r>
      <w:r w:rsidR="00BE559E">
        <w:t>unlikely t</w:t>
      </w:r>
      <w:r w:rsidR="00291A36">
        <w:t>o be the case.</w:t>
      </w:r>
      <w:r w:rsidR="000F1930">
        <w:t xml:space="preserve"> It is difficult to predict the</w:t>
      </w:r>
      <w:r w:rsidR="00D84B81">
        <w:t xml:space="preserve"> </w:t>
      </w:r>
      <w:r w:rsidR="00C97109">
        <w:t>impact of increased prices</w:t>
      </w:r>
      <w:r w:rsidR="000F1930">
        <w:t>: t</w:t>
      </w:r>
      <w:r w:rsidR="00291A36">
        <w:t xml:space="preserve">he comparison of </w:t>
      </w:r>
      <w:r w:rsidR="003703D5">
        <w:t>Apr-Sept</w:t>
      </w:r>
      <w:r w:rsidR="00291A36">
        <w:t xml:space="preserve"> 16/17 and </w:t>
      </w:r>
      <w:r w:rsidR="003703D5">
        <w:t xml:space="preserve">Apr-Sept </w:t>
      </w:r>
      <w:r w:rsidR="00291A36">
        <w:t>17/18</w:t>
      </w:r>
      <w:r w:rsidR="003703D5">
        <w:t xml:space="preserve"> (latest data)</w:t>
      </w:r>
      <w:r w:rsidR="00291A36">
        <w:t xml:space="preserve"> (see </w:t>
      </w:r>
      <w:r w:rsidR="00515157">
        <w:t>section</w:t>
      </w:r>
      <w:r w:rsidR="000F1930">
        <w:t xml:space="preserve"> 5.2)</w:t>
      </w:r>
      <w:r w:rsidR="003703D5">
        <w:t xml:space="preserve"> </w:t>
      </w:r>
      <w:r w:rsidR="00291A36">
        <w:t>shows</w:t>
      </w:r>
      <w:r w:rsidR="000F1930">
        <w:t xml:space="preserve"> a 25</w:t>
      </w:r>
      <w:r w:rsidR="00291A36">
        <w:t xml:space="preserve">% </w:t>
      </w:r>
      <w:r w:rsidR="00515157">
        <w:t>reduction</w:t>
      </w:r>
      <w:r w:rsidR="00291A36">
        <w:t xml:space="preserve"> in </w:t>
      </w:r>
      <w:r w:rsidR="000F1930">
        <w:t>number</w:t>
      </w:r>
      <w:r w:rsidR="00291A36">
        <w:t xml:space="preserve"> of lets following </w:t>
      </w:r>
      <w:r w:rsidR="000F1930">
        <w:t>a 10</w:t>
      </w:r>
      <w:r w:rsidR="00291A36">
        <w:t xml:space="preserve">% price rise (although other </w:t>
      </w:r>
      <w:r w:rsidR="000F1930">
        <w:t>factors</w:t>
      </w:r>
      <w:r w:rsidR="00291A36">
        <w:t xml:space="preserve"> may </w:t>
      </w:r>
      <w:r w:rsidR="000F1930">
        <w:t>have also contributed to</w:t>
      </w:r>
      <w:r w:rsidR="00291A36">
        <w:t xml:space="preserve"> the reduction)</w:t>
      </w:r>
      <w:r w:rsidR="000F1930">
        <w:t>. Conversely the apparent decline between 2014 estimate of 50,000hrs and 2016/17</w:t>
      </w:r>
      <w:r w:rsidR="00386DB3">
        <w:t xml:space="preserve"> </w:t>
      </w:r>
      <w:r w:rsidR="00386DB3" w:rsidRPr="00386DB3">
        <w:t>(33,000hrs)</w:t>
      </w:r>
      <w:r w:rsidR="000F1930">
        <w:t xml:space="preserve"> followed price increases of only 2%.</w:t>
      </w:r>
      <w:r w:rsidR="00D84B81">
        <w:t xml:space="preserve"> However</w:t>
      </w:r>
      <w:r w:rsidR="00386DB3">
        <w:t>, there can be little doubt that a</w:t>
      </w:r>
      <w:r w:rsidR="00D84B81">
        <w:t xml:space="preserve"> single year increase</w:t>
      </w:r>
      <w:r w:rsidR="00386DB3">
        <w:t xml:space="preserve"> of 39%</w:t>
      </w:r>
      <w:r w:rsidR="00D84B81">
        <w:t xml:space="preserve"> will have an impact – this underlines how unachievable the free lets saving is. However if this project is unable to achieve the saving, that only transfers the pressure to another budget. </w:t>
      </w:r>
    </w:p>
    <w:p w:rsidR="000F1930" w:rsidRDefault="000F1930" w:rsidP="002C7401"/>
    <w:p w:rsidR="00500607" w:rsidRDefault="00386DB3" w:rsidP="002C7401">
      <w:r>
        <w:t>All three O</w:t>
      </w:r>
      <w:r w:rsidR="000F1930">
        <w:t xml:space="preserve">ptions </w:t>
      </w:r>
      <w:r w:rsidR="00205D90">
        <w:t>2,</w:t>
      </w:r>
      <w:r w:rsidR="000F1930">
        <w:t xml:space="preserve"> 3 </w:t>
      </w:r>
      <w:r w:rsidR="00205D90">
        <w:t>and</w:t>
      </w:r>
      <w:r w:rsidR="000F1930">
        <w:t xml:space="preserve"> 4</w:t>
      </w:r>
      <w:r w:rsidR="004610DA">
        <w:t xml:space="preserve"> remove free lets </w:t>
      </w:r>
      <w:r w:rsidR="00BE559E">
        <w:t>a</w:t>
      </w:r>
      <w:r w:rsidR="004610DA">
        <w:t>n</w:t>
      </w:r>
      <w:r w:rsidR="00BE559E">
        <w:t xml:space="preserve">d there is likely to be some </w:t>
      </w:r>
      <w:r>
        <w:t>reduction</w:t>
      </w:r>
      <w:r w:rsidR="004610DA">
        <w:t xml:space="preserve"> in uptake from</w:t>
      </w:r>
      <w:r w:rsidR="00BE559E">
        <w:t xml:space="preserve"> gr</w:t>
      </w:r>
      <w:r w:rsidR="004610DA">
        <w:t xml:space="preserve">oups </w:t>
      </w:r>
      <w:r>
        <w:t xml:space="preserve">now </w:t>
      </w:r>
      <w:r w:rsidR="00BE559E">
        <w:t>requ</w:t>
      </w:r>
      <w:r w:rsidR="004610DA">
        <w:t>i</w:t>
      </w:r>
      <w:r w:rsidR="00BE559E">
        <w:t>red to pay</w:t>
      </w:r>
      <w:r w:rsidR="004610DA">
        <w:t xml:space="preserve">, however the future </w:t>
      </w:r>
      <w:r w:rsidR="00BE559E">
        <w:t>p</w:t>
      </w:r>
      <w:r w:rsidR="004610DA">
        <w:t>r</w:t>
      </w:r>
      <w:r w:rsidR="00BE559E">
        <w:t>i</w:t>
      </w:r>
      <w:r>
        <w:t>cing of O</w:t>
      </w:r>
      <w:r w:rsidR="000F1930">
        <w:t>ptions 3</w:t>
      </w:r>
      <w:r w:rsidR="004610DA">
        <w:t xml:space="preserve"> </w:t>
      </w:r>
      <w:r w:rsidR="00BE559E">
        <w:t>a</w:t>
      </w:r>
      <w:r w:rsidR="004610DA">
        <w:t>n</w:t>
      </w:r>
      <w:r w:rsidR="00BE559E">
        <w:t xml:space="preserve">d particularly </w:t>
      </w:r>
      <w:r w:rsidR="000F1930">
        <w:t>4</w:t>
      </w:r>
      <w:r w:rsidR="004610DA">
        <w:t xml:space="preserve"> are likely to have a significant impact on current paying custo</w:t>
      </w:r>
      <w:r w:rsidR="00BE559E">
        <w:t>mers as well.</w:t>
      </w:r>
      <w:r w:rsidR="004610DA">
        <w:t xml:space="preserve"> </w:t>
      </w:r>
    </w:p>
    <w:p w:rsidR="00D84B81" w:rsidRDefault="00D84B81"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243B64" w:rsidRDefault="00243B64" w:rsidP="000F1930">
      <w:pPr>
        <w:rPr>
          <w:b/>
        </w:rPr>
      </w:pPr>
    </w:p>
    <w:p w:rsidR="000F1930" w:rsidRPr="00F971AA" w:rsidRDefault="00F971AA" w:rsidP="000F1930">
      <w:pPr>
        <w:rPr>
          <w:b/>
        </w:rPr>
      </w:pPr>
      <w:r>
        <w:rPr>
          <w:b/>
        </w:rPr>
        <w:t>6.5</w:t>
      </w:r>
      <w:r>
        <w:rPr>
          <w:b/>
        </w:rPr>
        <w:tab/>
      </w:r>
      <w:r w:rsidRPr="00F971AA">
        <w:rPr>
          <w:b/>
        </w:rPr>
        <w:t>Pros and Cons</w:t>
      </w:r>
    </w:p>
    <w:p w:rsidR="000F1930" w:rsidRDefault="000F1930" w:rsidP="000F1930"/>
    <w:p w:rsidR="000F1930" w:rsidRDefault="000F1930" w:rsidP="000F1930">
      <w:r>
        <w:t>The table below summarises the principal pros and cons of each of the 4 options</w:t>
      </w:r>
    </w:p>
    <w:p w:rsidR="000F1930" w:rsidRPr="00333A4A" w:rsidRDefault="000F1930" w:rsidP="000F1930"/>
    <w:tbl>
      <w:tblPr>
        <w:tblStyle w:val="TableGrid"/>
        <w:tblW w:w="0" w:type="auto"/>
        <w:tblLook w:val="04A0" w:firstRow="1" w:lastRow="0" w:firstColumn="1" w:lastColumn="0" w:noHBand="0" w:noVBand="1"/>
      </w:tblPr>
      <w:tblGrid>
        <w:gridCol w:w="2088"/>
        <w:gridCol w:w="3577"/>
        <w:gridCol w:w="3577"/>
      </w:tblGrid>
      <w:tr w:rsidR="000F1930" w:rsidRPr="005F2040" w:rsidTr="00776B61">
        <w:tc>
          <w:tcPr>
            <w:tcW w:w="2088" w:type="dxa"/>
          </w:tcPr>
          <w:p w:rsidR="000F1930" w:rsidRPr="005F2040" w:rsidRDefault="000F1930" w:rsidP="00243B64">
            <w:pPr>
              <w:spacing w:line="276" w:lineRule="auto"/>
              <w:rPr>
                <w:b/>
                <w:sz w:val="20"/>
              </w:rPr>
            </w:pPr>
            <w:r w:rsidRPr="005F2040">
              <w:rPr>
                <w:b/>
                <w:sz w:val="20"/>
              </w:rPr>
              <w:t>Option</w:t>
            </w:r>
          </w:p>
        </w:tc>
        <w:tc>
          <w:tcPr>
            <w:tcW w:w="3577" w:type="dxa"/>
          </w:tcPr>
          <w:p w:rsidR="000F1930" w:rsidRPr="005F2040" w:rsidRDefault="000F1930" w:rsidP="00243B64">
            <w:pPr>
              <w:spacing w:line="276" w:lineRule="auto"/>
              <w:rPr>
                <w:b/>
                <w:sz w:val="20"/>
              </w:rPr>
            </w:pPr>
            <w:r w:rsidRPr="005F2040">
              <w:rPr>
                <w:b/>
                <w:sz w:val="20"/>
              </w:rPr>
              <w:t>For</w:t>
            </w:r>
          </w:p>
        </w:tc>
        <w:tc>
          <w:tcPr>
            <w:tcW w:w="3577" w:type="dxa"/>
          </w:tcPr>
          <w:p w:rsidR="000F1930" w:rsidRPr="005F2040" w:rsidRDefault="000F1930" w:rsidP="00243B64">
            <w:pPr>
              <w:spacing w:line="276" w:lineRule="auto"/>
              <w:rPr>
                <w:b/>
                <w:sz w:val="20"/>
              </w:rPr>
            </w:pPr>
            <w:r w:rsidRPr="005F2040">
              <w:rPr>
                <w:b/>
                <w:sz w:val="20"/>
              </w:rPr>
              <w:t>Against</w:t>
            </w:r>
          </w:p>
        </w:tc>
      </w:tr>
      <w:tr w:rsidR="000F1930" w:rsidRPr="00333A4A" w:rsidTr="00776B61">
        <w:trPr>
          <w:trHeight w:val="1358"/>
        </w:trPr>
        <w:tc>
          <w:tcPr>
            <w:tcW w:w="2088" w:type="dxa"/>
          </w:tcPr>
          <w:p w:rsidR="000F1930" w:rsidRPr="00D853CB" w:rsidRDefault="000F1930" w:rsidP="00243B64">
            <w:pPr>
              <w:spacing w:line="276" w:lineRule="auto"/>
              <w:rPr>
                <w:sz w:val="20"/>
              </w:rPr>
            </w:pPr>
            <w:r w:rsidRPr="00D853CB">
              <w:rPr>
                <w:sz w:val="20"/>
              </w:rPr>
              <w:t>1 (PPP/HLH only)</w:t>
            </w:r>
          </w:p>
        </w:tc>
        <w:tc>
          <w:tcPr>
            <w:tcW w:w="3577" w:type="dxa"/>
          </w:tcPr>
          <w:p w:rsidR="000F1930" w:rsidRPr="00D853CB" w:rsidRDefault="000F1930" w:rsidP="00243B64">
            <w:pPr>
              <w:pStyle w:val="ListParagraph"/>
              <w:numPr>
                <w:ilvl w:val="0"/>
                <w:numId w:val="40"/>
              </w:numPr>
              <w:spacing w:line="276" w:lineRule="auto"/>
              <w:ind w:left="342"/>
              <w:rPr>
                <w:sz w:val="20"/>
              </w:rPr>
            </w:pPr>
            <w:r w:rsidRPr="00D853CB">
              <w:rPr>
                <w:sz w:val="20"/>
              </w:rPr>
              <w:t>E</w:t>
            </w:r>
            <w:r>
              <w:rPr>
                <w:sz w:val="20"/>
              </w:rPr>
              <w:t>arns income with</w:t>
            </w:r>
            <w:r w:rsidR="003703D5">
              <w:rPr>
                <w:sz w:val="20"/>
              </w:rPr>
              <w:t xml:space="preserve"> minimal costs; increased margin</w:t>
            </w:r>
            <w:r>
              <w:rPr>
                <w:sz w:val="20"/>
              </w:rPr>
              <w:t xml:space="preserve"> </w:t>
            </w:r>
            <w:r w:rsidRPr="00D853CB">
              <w:rPr>
                <w:sz w:val="20"/>
              </w:rPr>
              <w:t>could achieve outstanding savings</w:t>
            </w:r>
            <w:r>
              <w:rPr>
                <w:sz w:val="20"/>
              </w:rPr>
              <w:t xml:space="preserve"> </w:t>
            </w:r>
          </w:p>
          <w:p w:rsidR="000F1930" w:rsidRDefault="003703D5" w:rsidP="00243B64">
            <w:pPr>
              <w:pStyle w:val="ListParagraph"/>
              <w:numPr>
                <w:ilvl w:val="0"/>
                <w:numId w:val="40"/>
              </w:numPr>
              <w:spacing w:line="276" w:lineRule="auto"/>
              <w:ind w:left="342"/>
              <w:rPr>
                <w:sz w:val="20"/>
              </w:rPr>
            </w:pPr>
            <w:r>
              <w:rPr>
                <w:sz w:val="20"/>
              </w:rPr>
              <w:t>Reduced requirement for over</w:t>
            </w:r>
            <w:r w:rsidR="000F1930">
              <w:rPr>
                <w:sz w:val="20"/>
              </w:rPr>
              <w:t xml:space="preserve">time/ evening and weekend working </w:t>
            </w:r>
          </w:p>
          <w:p w:rsidR="00243B64" w:rsidRPr="00243B64" w:rsidRDefault="00243B64" w:rsidP="00243B64">
            <w:pPr>
              <w:pStyle w:val="ListParagraph"/>
              <w:numPr>
                <w:ilvl w:val="0"/>
                <w:numId w:val="41"/>
              </w:numPr>
              <w:spacing w:line="276" w:lineRule="auto"/>
              <w:ind w:left="342"/>
              <w:rPr>
                <w:sz w:val="20"/>
              </w:rPr>
            </w:pPr>
            <w:r w:rsidRPr="00D853CB">
              <w:rPr>
                <w:sz w:val="20"/>
              </w:rPr>
              <w:t>Parity between schools and leisure centres charges</w:t>
            </w:r>
          </w:p>
        </w:tc>
        <w:tc>
          <w:tcPr>
            <w:tcW w:w="3577" w:type="dxa"/>
          </w:tcPr>
          <w:p w:rsidR="000F1930" w:rsidRPr="00D853CB" w:rsidRDefault="000F1930" w:rsidP="00243B64">
            <w:pPr>
              <w:pStyle w:val="ListParagraph"/>
              <w:numPr>
                <w:ilvl w:val="0"/>
                <w:numId w:val="40"/>
              </w:numPr>
              <w:spacing w:line="276" w:lineRule="auto"/>
              <w:ind w:left="365"/>
              <w:rPr>
                <w:sz w:val="20"/>
              </w:rPr>
            </w:pPr>
            <w:r w:rsidRPr="00D853CB">
              <w:rPr>
                <w:sz w:val="20"/>
              </w:rPr>
              <w:t>Limited community access</w:t>
            </w:r>
          </w:p>
          <w:p w:rsidR="000F1930" w:rsidRPr="00D853CB" w:rsidRDefault="000F1930" w:rsidP="00243B64">
            <w:pPr>
              <w:pStyle w:val="ListParagraph"/>
              <w:numPr>
                <w:ilvl w:val="0"/>
                <w:numId w:val="40"/>
              </w:numPr>
              <w:spacing w:line="276" w:lineRule="auto"/>
              <w:ind w:left="365"/>
              <w:rPr>
                <w:sz w:val="20"/>
              </w:rPr>
            </w:pPr>
            <w:r w:rsidRPr="00D853CB">
              <w:rPr>
                <w:sz w:val="20"/>
              </w:rPr>
              <w:t>Limited geographic coverage</w:t>
            </w:r>
          </w:p>
          <w:p w:rsidR="000F1930" w:rsidRPr="00D853CB" w:rsidRDefault="000F1930" w:rsidP="00243B64">
            <w:pPr>
              <w:pStyle w:val="ListParagraph"/>
              <w:numPr>
                <w:ilvl w:val="0"/>
                <w:numId w:val="40"/>
              </w:numPr>
              <w:spacing w:line="276" w:lineRule="auto"/>
              <w:ind w:left="365"/>
              <w:rPr>
                <w:sz w:val="20"/>
              </w:rPr>
            </w:pPr>
            <w:r w:rsidRPr="00D853CB">
              <w:rPr>
                <w:sz w:val="20"/>
              </w:rPr>
              <w:t>Loss of community activities</w:t>
            </w:r>
          </w:p>
          <w:p w:rsidR="000F1930" w:rsidRPr="00D853CB" w:rsidRDefault="000F1930" w:rsidP="00243B64">
            <w:pPr>
              <w:pStyle w:val="ListParagraph"/>
              <w:numPr>
                <w:ilvl w:val="0"/>
                <w:numId w:val="40"/>
              </w:numPr>
              <w:spacing w:line="276" w:lineRule="auto"/>
              <w:ind w:left="365"/>
              <w:rPr>
                <w:sz w:val="20"/>
              </w:rPr>
            </w:pPr>
            <w:r w:rsidRPr="00D853CB">
              <w:rPr>
                <w:sz w:val="20"/>
              </w:rPr>
              <w:t>Loss of HC income</w:t>
            </w:r>
          </w:p>
          <w:p w:rsidR="000F1930" w:rsidRPr="00291A36" w:rsidRDefault="000F1930" w:rsidP="00243B64">
            <w:pPr>
              <w:pStyle w:val="ListParagraph"/>
              <w:numPr>
                <w:ilvl w:val="0"/>
                <w:numId w:val="40"/>
              </w:numPr>
              <w:spacing w:line="276" w:lineRule="auto"/>
              <w:ind w:left="365"/>
              <w:rPr>
                <w:sz w:val="20"/>
              </w:rPr>
            </w:pPr>
            <w:r>
              <w:rPr>
                <w:sz w:val="20"/>
              </w:rPr>
              <w:t>Significant</w:t>
            </w:r>
            <w:r w:rsidRPr="00D853CB">
              <w:rPr>
                <w:sz w:val="20"/>
              </w:rPr>
              <w:t xml:space="preserve"> political impact</w:t>
            </w:r>
          </w:p>
        </w:tc>
      </w:tr>
      <w:tr w:rsidR="000F1930" w:rsidRPr="00333A4A" w:rsidTr="00776B61">
        <w:tc>
          <w:tcPr>
            <w:tcW w:w="2088" w:type="dxa"/>
          </w:tcPr>
          <w:p w:rsidR="000F1930" w:rsidRPr="00D853CB" w:rsidRDefault="000F1930" w:rsidP="00243B64">
            <w:pPr>
              <w:spacing w:line="276" w:lineRule="auto"/>
              <w:rPr>
                <w:sz w:val="20"/>
              </w:rPr>
            </w:pPr>
            <w:r w:rsidRPr="00D853CB">
              <w:rPr>
                <w:sz w:val="20"/>
              </w:rPr>
              <w:t>2 (2009 policy + 5%pa)</w:t>
            </w:r>
          </w:p>
        </w:tc>
        <w:tc>
          <w:tcPr>
            <w:tcW w:w="3577" w:type="dxa"/>
          </w:tcPr>
          <w:p w:rsidR="000F1930" w:rsidRPr="00D853CB" w:rsidRDefault="000F1930" w:rsidP="00243B64">
            <w:pPr>
              <w:pStyle w:val="ListParagraph"/>
              <w:numPr>
                <w:ilvl w:val="0"/>
                <w:numId w:val="41"/>
              </w:numPr>
              <w:spacing w:line="276" w:lineRule="auto"/>
              <w:ind w:left="342"/>
              <w:rPr>
                <w:sz w:val="20"/>
              </w:rPr>
            </w:pPr>
            <w:r w:rsidRPr="00D853CB">
              <w:rPr>
                <w:sz w:val="20"/>
              </w:rPr>
              <w:t>Would cover lets costs once schools rationalised</w:t>
            </w:r>
            <w:r>
              <w:rPr>
                <w:sz w:val="20"/>
              </w:rPr>
              <w:t xml:space="preserve"> (3+years)</w:t>
            </w:r>
            <w:r w:rsidRPr="00D853CB">
              <w:rPr>
                <w:sz w:val="20"/>
              </w:rPr>
              <w:t xml:space="preserve">  </w:t>
            </w:r>
          </w:p>
          <w:p w:rsidR="000F1930" w:rsidRPr="00D853CB" w:rsidRDefault="000F1930" w:rsidP="00243B64">
            <w:pPr>
              <w:pStyle w:val="ListParagraph"/>
              <w:numPr>
                <w:ilvl w:val="0"/>
                <w:numId w:val="41"/>
              </w:numPr>
              <w:spacing w:line="276" w:lineRule="auto"/>
              <w:ind w:left="342"/>
              <w:rPr>
                <w:sz w:val="20"/>
              </w:rPr>
            </w:pPr>
            <w:r w:rsidRPr="00D853CB">
              <w:rPr>
                <w:sz w:val="20"/>
              </w:rPr>
              <w:t>Parity between schools and leisure centres charges</w:t>
            </w:r>
          </w:p>
          <w:p w:rsidR="000F1930" w:rsidRPr="00D853CB" w:rsidRDefault="000F1930" w:rsidP="00243B64">
            <w:pPr>
              <w:pStyle w:val="ListParagraph"/>
              <w:numPr>
                <w:ilvl w:val="0"/>
                <w:numId w:val="41"/>
              </w:numPr>
              <w:spacing w:line="276" w:lineRule="auto"/>
              <w:ind w:left="342"/>
              <w:rPr>
                <w:sz w:val="20"/>
              </w:rPr>
            </w:pPr>
            <w:r w:rsidRPr="00D853CB">
              <w:rPr>
                <w:sz w:val="20"/>
              </w:rPr>
              <w:t xml:space="preserve">Competitive with other providers </w:t>
            </w:r>
          </w:p>
          <w:p w:rsidR="000F1930" w:rsidRDefault="000F1930" w:rsidP="00243B64">
            <w:pPr>
              <w:pStyle w:val="ListParagraph"/>
              <w:numPr>
                <w:ilvl w:val="0"/>
                <w:numId w:val="41"/>
              </w:numPr>
              <w:spacing w:line="276" w:lineRule="auto"/>
              <w:ind w:left="342"/>
              <w:rPr>
                <w:sz w:val="20"/>
              </w:rPr>
            </w:pPr>
            <w:r w:rsidRPr="00D853CB">
              <w:rPr>
                <w:sz w:val="20"/>
              </w:rPr>
              <w:t>Most potential to grow and develop the business</w:t>
            </w:r>
          </w:p>
          <w:p w:rsidR="000F1930" w:rsidRDefault="000F1930" w:rsidP="00243B64">
            <w:pPr>
              <w:pStyle w:val="ListParagraph"/>
              <w:numPr>
                <w:ilvl w:val="0"/>
                <w:numId w:val="41"/>
              </w:numPr>
              <w:spacing w:line="276" w:lineRule="auto"/>
              <w:ind w:left="342"/>
              <w:rPr>
                <w:sz w:val="20"/>
              </w:rPr>
            </w:pPr>
            <w:r>
              <w:rPr>
                <w:sz w:val="20"/>
              </w:rPr>
              <w:t>No staff impact</w:t>
            </w:r>
            <w:r w:rsidRPr="00D853CB">
              <w:rPr>
                <w:sz w:val="20"/>
              </w:rPr>
              <w:t xml:space="preserve"> </w:t>
            </w:r>
          </w:p>
          <w:p w:rsidR="000F1930" w:rsidRPr="00F82970" w:rsidRDefault="000F1930" w:rsidP="00243B64">
            <w:pPr>
              <w:pStyle w:val="ListParagraph"/>
              <w:numPr>
                <w:ilvl w:val="0"/>
                <w:numId w:val="41"/>
              </w:numPr>
              <w:spacing w:line="276" w:lineRule="auto"/>
              <w:ind w:left="342"/>
              <w:rPr>
                <w:sz w:val="20"/>
              </w:rPr>
            </w:pPr>
            <w:r>
              <w:rPr>
                <w:sz w:val="20"/>
              </w:rPr>
              <w:t>Least political impact</w:t>
            </w:r>
          </w:p>
        </w:tc>
        <w:tc>
          <w:tcPr>
            <w:tcW w:w="3577" w:type="dxa"/>
          </w:tcPr>
          <w:p w:rsidR="000F1930" w:rsidRPr="00396A81" w:rsidRDefault="000F1930" w:rsidP="00243B64">
            <w:pPr>
              <w:pStyle w:val="ListParagraph"/>
              <w:numPr>
                <w:ilvl w:val="0"/>
                <w:numId w:val="41"/>
              </w:numPr>
              <w:spacing w:line="276" w:lineRule="auto"/>
              <w:ind w:left="365"/>
              <w:rPr>
                <w:sz w:val="20"/>
              </w:rPr>
            </w:pPr>
            <w:r w:rsidRPr="00396A81">
              <w:rPr>
                <w:sz w:val="20"/>
              </w:rPr>
              <w:t>Does not achieve savings</w:t>
            </w:r>
          </w:p>
          <w:p w:rsidR="000F1930" w:rsidRPr="00D853CB" w:rsidRDefault="000F1930" w:rsidP="00243B64">
            <w:pPr>
              <w:spacing w:line="276" w:lineRule="auto"/>
              <w:rPr>
                <w:sz w:val="20"/>
              </w:rPr>
            </w:pPr>
          </w:p>
        </w:tc>
      </w:tr>
      <w:tr w:rsidR="000F1930" w:rsidRPr="00333A4A" w:rsidTr="00776B61">
        <w:tc>
          <w:tcPr>
            <w:tcW w:w="2088" w:type="dxa"/>
          </w:tcPr>
          <w:p w:rsidR="000F1930" w:rsidRPr="00D853CB" w:rsidRDefault="000F1930" w:rsidP="00243B64">
            <w:pPr>
              <w:spacing w:line="276" w:lineRule="auto"/>
              <w:rPr>
                <w:sz w:val="20"/>
              </w:rPr>
            </w:pPr>
            <w:r w:rsidRPr="00D853CB">
              <w:rPr>
                <w:sz w:val="20"/>
              </w:rPr>
              <w:t>3 (2009 policy + 10%pa)</w:t>
            </w:r>
          </w:p>
        </w:tc>
        <w:tc>
          <w:tcPr>
            <w:tcW w:w="3577" w:type="dxa"/>
          </w:tcPr>
          <w:p w:rsidR="000F1930" w:rsidRPr="00396A81" w:rsidRDefault="000F1930" w:rsidP="00243B64">
            <w:pPr>
              <w:pStyle w:val="ListParagraph"/>
              <w:numPr>
                <w:ilvl w:val="0"/>
                <w:numId w:val="42"/>
              </w:numPr>
              <w:spacing w:line="276" w:lineRule="auto"/>
              <w:ind w:left="342"/>
              <w:rPr>
                <w:sz w:val="20"/>
              </w:rPr>
            </w:pPr>
            <w:r w:rsidRPr="00396A81">
              <w:rPr>
                <w:sz w:val="20"/>
              </w:rPr>
              <w:t>Would cover lets costs once schools rationalised</w:t>
            </w:r>
            <w:r>
              <w:rPr>
                <w:sz w:val="20"/>
              </w:rPr>
              <w:t>, sooner than</w:t>
            </w:r>
            <w:r w:rsidR="00243B64">
              <w:rPr>
                <w:sz w:val="20"/>
              </w:rPr>
              <w:t xml:space="preserve"> O</w:t>
            </w:r>
            <w:r w:rsidRPr="00396A81">
              <w:rPr>
                <w:sz w:val="20"/>
              </w:rPr>
              <w:t xml:space="preserve">ption 2  </w:t>
            </w:r>
          </w:p>
          <w:p w:rsidR="000F1930" w:rsidRDefault="000F1930" w:rsidP="00243B64">
            <w:pPr>
              <w:pStyle w:val="ListParagraph"/>
              <w:numPr>
                <w:ilvl w:val="0"/>
                <w:numId w:val="42"/>
              </w:numPr>
              <w:spacing w:line="276" w:lineRule="auto"/>
              <w:ind w:left="342"/>
              <w:rPr>
                <w:sz w:val="20"/>
              </w:rPr>
            </w:pPr>
            <w:r>
              <w:rPr>
                <w:sz w:val="20"/>
              </w:rPr>
              <w:t>C</w:t>
            </w:r>
            <w:r w:rsidRPr="00396A81">
              <w:rPr>
                <w:sz w:val="20"/>
              </w:rPr>
              <w:t>ompetitive with</w:t>
            </w:r>
            <w:r>
              <w:rPr>
                <w:sz w:val="20"/>
              </w:rPr>
              <w:t xml:space="preserve"> </w:t>
            </w:r>
            <w:r w:rsidRPr="00396A81">
              <w:rPr>
                <w:sz w:val="20"/>
              </w:rPr>
              <w:t>othe</w:t>
            </w:r>
            <w:r>
              <w:rPr>
                <w:sz w:val="20"/>
              </w:rPr>
              <w:t xml:space="preserve">r </w:t>
            </w:r>
            <w:r w:rsidRPr="00396A81">
              <w:rPr>
                <w:sz w:val="20"/>
              </w:rPr>
              <w:t>p</w:t>
            </w:r>
            <w:r>
              <w:rPr>
                <w:sz w:val="20"/>
              </w:rPr>
              <w:t>r</w:t>
            </w:r>
            <w:r w:rsidRPr="00396A81">
              <w:rPr>
                <w:sz w:val="20"/>
              </w:rPr>
              <w:t>oviders</w:t>
            </w:r>
          </w:p>
          <w:p w:rsidR="000F1930" w:rsidRDefault="000F1930" w:rsidP="00243B64">
            <w:pPr>
              <w:pStyle w:val="ListParagraph"/>
              <w:numPr>
                <w:ilvl w:val="0"/>
                <w:numId w:val="42"/>
              </w:numPr>
              <w:spacing w:line="276" w:lineRule="auto"/>
              <w:ind w:left="342"/>
              <w:rPr>
                <w:sz w:val="20"/>
              </w:rPr>
            </w:pPr>
            <w:r>
              <w:rPr>
                <w:sz w:val="20"/>
              </w:rPr>
              <w:t>No staff impact</w:t>
            </w:r>
          </w:p>
          <w:p w:rsidR="000F1930" w:rsidRPr="00396A81" w:rsidRDefault="000F1930" w:rsidP="00243B64">
            <w:pPr>
              <w:pStyle w:val="ListParagraph"/>
              <w:numPr>
                <w:ilvl w:val="0"/>
                <w:numId w:val="42"/>
              </w:numPr>
              <w:spacing w:line="276" w:lineRule="auto"/>
              <w:ind w:left="342"/>
              <w:rPr>
                <w:sz w:val="20"/>
              </w:rPr>
            </w:pPr>
            <w:r>
              <w:rPr>
                <w:sz w:val="20"/>
              </w:rPr>
              <w:t>Limited</w:t>
            </w:r>
            <w:r w:rsidRPr="00396A81">
              <w:rPr>
                <w:sz w:val="20"/>
              </w:rPr>
              <w:t xml:space="preserve"> political</w:t>
            </w:r>
            <w:r>
              <w:rPr>
                <w:sz w:val="20"/>
              </w:rPr>
              <w:t xml:space="preserve"> impact (10% </w:t>
            </w:r>
            <w:r w:rsidRPr="00396A81">
              <w:rPr>
                <w:sz w:val="20"/>
              </w:rPr>
              <w:t>price rise</w:t>
            </w:r>
            <w:r>
              <w:rPr>
                <w:sz w:val="20"/>
              </w:rPr>
              <w:t xml:space="preserve"> – same as 17/18</w:t>
            </w:r>
            <w:r w:rsidRPr="00396A81">
              <w:rPr>
                <w:sz w:val="20"/>
              </w:rPr>
              <w:t>)</w:t>
            </w:r>
          </w:p>
        </w:tc>
        <w:tc>
          <w:tcPr>
            <w:tcW w:w="3577" w:type="dxa"/>
          </w:tcPr>
          <w:p w:rsidR="000F1930" w:rsidRPr="00396A81" w:rsidRDefault="000F1930" w:rsidP="00243B64">
            <w:pPr>
              <w:pStyle w:val="ListParagraph"/>
              <w:numPr>
                <w:ilvl w:val="0"/>
                <w:numId w:val="42"/>
              </w:numPr>
              <w:spacing w:line="276" w:lineRule="auto"/>
              <w:ind w:left="365"/>
              <w:rPr>
                <w:sz w:val="20"/>
              </w:rPr>
            </w:pPr>
            <w:r>
              <w:rPr>
                <w:sz w:val="20"/>
              </w:rPr>
              <w:t xml:space="preserve">Does </w:t>
            </w:r>
            <w:r w:rsidRPr="00396A81">
              <w:rPr>
                <w:sz w:val="20"/>
              </w:rPr>
              <w:t>not achieve savings,</w:t>
            </w:r>
          </w:p>
          <w:p w:rsidR="00243B64" w:rsidRPr="00F82970" w:rsidRDefault="00243B64" w:rsidP="00243B64">
            <w:pPr>
              <w:pStyle w:val="ListParagraph"/>
              <w:numPr>
                <w:ilvl w:val="0"/>
                <w:numId w:val="42"/>
              </w:numPr>
              <w:spacing w:line="276" w:lineRule="auto"/>
              <w:ind w:left="365"/>
              <w:rPr>
                <w:sz w:val="20"/>
              </w:rPr>
            </w:pPr>
            <w:r w:rsidRPr="00F82970">
              <w:rPr>
                <w:sz w:val="20"/>
              </w:rPr>
              <w:t xml:space="preserve">No </w:t>
            </w:r>
            <w:r>
              <w:rPr>
                <w:sz w:val="20"/>
              </w:rPr>
              <w:t xml:space="preserve">price </w:t>
            </w:r>
            <w:r w:rsidRPr="00F82970">
              <w:rPr>
                <w:sz w:val="20"/>
              </w:rPr>
              <w:t>parity between school</w:t>
            </w:r>
            <w:r>
              <w:rPr>
                <w:sz w:val="20"/>
              </w:rPr>
              <w:t>s</w:t>
            </w:r>
            <w:r w:rsidRPr="00F82970">
              <w:rPr>
                <w:sz w:val="20"/>
              </w:rPr>
              <w:t xml:space="preserve"> and leisure centres</w:t>
            </w:r>
          </w:p>
          <w:p w:rsidR="000F1930" w:rsidRPr="00396A81" w:rsidRDefault="000F1930" w:rsidP="00243B64">
            <w:pPr>
              <w:pStyle w:val="ListParagraph"/>
              <w:numPr>
                <w:ilvl w:val="0"/>
                <w:numId w:val="42"/>
              </w:numPr>
              <w:spacing w:line="276" w:lineRule="auto"/>
              <w:ind w:left="365"/>
              <w:rPr>
                <w:sz w:val="20"/>
              </w:rPr>
            </w:pPr>
            <w:r w:rsidRPr="00396A81">
              <w:rPr>
                <w:sz w:val="20"/>
              </w:rPr>
              <w:t>Less competitive in market place</w:t>
            </w:r>
          </w:p>
          <w:p w:rsidR="000F1930" w:rsidRPr="00291A36" w:rsidRDefault="000F1930" w:rsidP="00243B64">
            <w:pPr>
              <w:spacing w:line="276" w:lineRule="auto"/>
              <w:ind w:left="5"/>
              <w:rPr>
                <w:sz w:val="20"/>
              </w:rPr>
            </w:pPr>
          </w:p>
        </w:tc>
      </w:tr>
      <w:tr w:rsidR="000F1930" w:rsidRPr="00333A4A" w:rsidTr="00776B61">
        <w:tc>
          <w:tcPr>
            <w:tcW w:w="2088" w:type="dxa"/>
          </w:tcPr>
          <w:p w:rsidR="000F1930" w:rsidRPr="00D853CB" w:rsidRDefault="000F1930" w:rsidP="00243B64">
            <w:pPr>
              <w:spacing w:line="276" w:lineRule="auto"/>
              <w:rPr>
                <w:sz w:val="20"/>
              </w:rPr>
            </w:pPr>
            <w:r w:rsidRPr="00D853CB">
              <w:rPr>
                <w:sz w:val="20"/>
              </w:rPr>
              <w:t>4 (2009 policy + 39% then 10%pa thereafter)</w:t>
            </w:r>
          </w:p>
        </w:tc>
        <w:tc>
          <w:tcPr>
            <w:tcW w:w="3577" w:type="dxa"/>
          </w:tcPr>
          <w:p w:rsidR="000F1930" w:rsidRDefault="000F1930" w:rsidP="00243B64">
            <w:pPr>
              <w:pStyle w:val="ListParagraph"/>
              <w:numPr>
                <w:ilvl w:val="0"/>
                <w:numId w:val="43"/>
              </w:numPr>
              <w:spacing w:line="276" w:lineRule="auto"/>
              <w:ind w:left="342"/>
              <w:rPr>
                <w:sz w:val="20"/>
              </w:rPr>
            </w:pPr>
            <w:r w:rsidRPr="00F82970">
              <w:rPr>
                <w:sz w:val="20"/>
              </w:rPr>
              <w:t>Achieves savings target</w:t>
            </w:r>
          </w:p>
          <w:p w:rsidR="000F1930" w:rsidRPr="00F82970" w:rsidRDefault="000F1930" w:rsidP="00243B64">
            <w:pPr>
              <w:pStyle w:val="ListParagraph"/>
              <w:numPr>
                <w:ilvl w:val="0"/>
                <w:numId w:val="43"/>
              </w:numPr>
              <w:spacing w:line="276" w:lineRule="auto"/>
              <w:ind w:left="342"/>
              <w:rPr>
                <w:sz w:val="20"/>
              </w:rPr>
            </w:pPr>
            <w:r>
              <w:rPr>
                <w:sz w:val="20"/>
              </w:rPr>
              <w:t>No staff impact (but reduced volumes)</w:t>
            </w:r>
          </w:p>
        </w:tc>
        <w:tc>
          <w:tcPr>
            <w:tcW w:w="3577" w:type="dxa"/>
          </w:tcPr>
          <w:p w:rsidR="000F1930" w:rsidRPr="00F82970" w:rsidRDefault="000F1930" w:rsidP="00243B64">
            <w:pPr>
              <w:pStyle w:val="ListParagraph"/>
              <w:numPr>
                <w:ilvl w:val="0"/>
                <w:numId w:val="43"/>
              </w:numPr>
              <w:spacing w:line="276" w:lineRule="auto"/>
              <w:ind w:left="365"/>
              <w:rPr>
                <w:sz w:val="20"/>
              </w:rPr>
            </w:pPr>
            <w:r w:rsidRPr="00F82970">
              <w:rPr>
                <w:sz w:val="20"/>
              </w:rPr>
              <w:t>Unlikely to maintain volumes</w:t>
            </w:r>
          </w:p>
          <w:p w:rsidR="000F1930" w:rsidRPr="00F82970" w:rsidRDefault="000F1930" w:rsidP="00243B64">
            <w:pPr>
              <w:pStyle w:val="ListParagraph"/>
              <w:numPr>
                <w:ilvl w:val="0"/>
                <w:numId w:val="43"/>
              </w:numPr>
              <w:spacing w:line="276" w:lineRule="auto"/>
              <w:ind w:left="365"/>
              <w:rPr>
                <w:sz w:val="20"/>
              </w:rPr>
            </w:pPr>
            <w:r w:rsidRPr="00F82970">
              <w:rPr>
                <w:sz w:val="20"/>
              </w:rPr>
              <w:t>Limits access due to increased prices</w:t>
            </w:r>
          </w:p>
          <w:p w:rsidR="000F1930" w:rsidRPr="00F82970" w:rsidRDefault="000F1930" w:rsidP="00243B64">
            <w:pPr>
              <w:pStyle w:val="ListParagraph"/>
              <w:numPr>
                <w:ilvl w:val="0"/>
                <w:numId w:val="43"/>
              </w:numPr>
              <w:spacing w:line="276" w:lineRule="auto"/>
              <w:ind w:left="365"/>
              <w:rPr>
                <w:sz w:val="20"/>
              </w:rPr>
            </w:pPr>
            <w:r w:rsidRPr="00F82970">
              <w:rPr>
                <w:sz w:val="20"/>
              </w:rPr>
              <w:t>Uncompetitive in marketplace</w:t>
            </w:r>
          </w:p>
          <w:p w:rsidR="000F1930" w:rsidRPr="00F82970" w:rsidRDefault="000F1930" w:rsidP="00243B64">
            <w:pPr>
              <w:pStyle w:val="ListParagraph"/>
              <w:numPr>
                <w:ilvl w:val="0"/>
                <w:numId w:val="43"/>
              </w:numPr>
              <w:spacing w:line="276" w:lineRule="auto"/>
              <w:ind w:left="365"/>
              <w:rPr>
                <w:sz w:val="20"/>
              </w:rPr>
            </w:pPr>
            <w:r w:rsidRPr="00F82970">
              <w:rPr>
                <w:sz w:val="20"/>
              </w:rPr>
              <w:t xml:space="preserve">No </w:t>
            </w:r>
            <w:r w:rsidR="00243B64">
              <w:rPr>
                <w:sz w:val="20"/>
              </w:rPr>
              <w:t xml:space="preserve">price </w:t>
            </w:r>
            <w:r w:rsidRPr="00F82970">
              <w:rPr>
                <w:sz w:val="20"/>
              </w:rPr>
              <w:t>parity between school</w:t>
            </w:r>
            <w:r w:rsidR="00243B64">
              <w:rPr>
                <w:sz w:val="20"/>
              </w:rPr>
              <w:t>s</w:t>
            </w:r>
            <w:r w:rsidRPr="00F82970">
              <w:rPr>
                <w:sz w:val="20"/>
              </w:rPr>
              <w:t xml:space="preserve"> and leisure centres</w:t>
            </w:r>
          </w:p>
          <w:p w:rsidR="000F1930" w:rsidRPr="00F82970" w:rsidRDefault="000F1930" w:rsidP="00243B64">
            <w:pPr>
              <w:pStyle w:val="ListParagraph"/>
              <w:numPr>
                <w:ilvl w:val="0"/>
                <w:numId w:val="43"/>
              </w:numPr>
              <w:spacing w:line="276" w:lineRule="auto"/>
              <w:ind w:left="365"/>
              <w:rPr>
                <w:sz w:val="20"/>
              </w:rPr>
            </w:pPr>
            <w:r w:rsidRPr="00F82970">
              <w:rPr>
                <w:sz w:val="20"/>
              </w:rPr>
              <w:t>Significant political impact</w:t>
            </w:r>
          </w:p>
        </w:tc>
      </w:tr>
    </w:tbl>
    <w:p w:rsidR="00F971AA" w:rsidRDefault="00F971AA" w:rsidP="002C7401">
      <w:pPr>
        <w:rPr>
          <w:u w:val="single"/>
        </w:rPr>
      </w:pPr>
    </w:p>
    <w:p w:rsidR="00243B64" w:rsidRDefault="00243B64" w:rsidP="002C7401">
      <w:pPr>
        <w:rPr>
          <w:b/>
        </w:rPr>
      </w:pPr>
    </w:p>
    <w:p w:rsidR="00243B64" w:rsidRDefault="00243B64" w:rsidP="002C7401">
      <w:pPr>
        <w:rPr>
          <w:b/>
        </w:rPr>
      </w:pPr>
    </w:p>
    <w:p w:rsidR="00243B64" w:rsidRDefault="00243B64" w:rsidP="002C7401">
      <w:pPr>
        <w:rPr>
          <w:b/>
        </w:rPr>
      </w:pPr>
    </w:p>
    <w:p w:rsidR="00243B64" w:rsidRDefault="00243B64" w:rsidP="002C7401">
      <w:pPr>
        <w:rPr>
          <w:b/>
        </w:rPr>
      </w:pPr>
    </w:p>
    <w:p w:rsidR="00243B64" w:rsidRDefault="00243B64" w:rsidP="002C7401">
      <w:pPr>
        <w:rPr>
          <w:b/>
        </w:rPr>
      </w:pPr>
    </w:p>
    <w:p w:rsidR="00243B64" w:rsidRDefault="00243B64" w:rsidP="002C7401">
      <w:pPr>
        <w:rPr>
          <w:b/>
        </w:rPr>
      </w:pPr>
    </w:p>
    <w:p w:rsidR="00243B64" w:rsidRDefault="00243B64" w:rsidP="002C7401">
      <w:pPr>
        <w:rPr>
          <w:b/>
        </w:rPr>
      </w:pPr>
    </w:p>
    <w:p w:rsidR="00243B64" w:rsidRDefault="00243B64" w:rsidP="002C7401">
      <w:pPr>
        <w:rPr>
          <w:b/>
        </w:rPr>
      </w:pPr>
    </w:p>
    <w:p w:rsidR="00243B64" w:rsidRDefault="00243B64" w:rsidP="002C7401">
      <w:pPr>
        <w:rPr>
          <w:b/>
        </w:rPr>
      </w:pPr>
    </w:p>
    <w:p w:rsidR="00243B64" w:rsidRDefault="00243B64" w:rsidP="002C7401">
      <w:pPr>
        <w:rPr>
          <w:b/>
        </w:rPr>
      </w:pPr>
    </w:p>
    <w:p w:rsidR="00243B64" w:rsidRDefault="00243B64" w:rsidP="002C7401">
      <w:pPr>
        <w:rPr>
          <w:b/>
        </w:rPr>
      </w:pPr>
    </w:p>
    <w:p w:rsidR="00500607" w:rsidRPr="00F971AA" w:rsidRDefault="00F971AA" w:rsidP="002C7401">
      <w:pPr>
        <w:rPr>
          <w:b/>
        </w:rPr>
      </w:pPr>
      <w:r>
        <w:rPr>
          <w:b/>
        </w:rPr>
        <w:t>6.6</w:t>
      </w:r>
      <w:r>
        <w:rPr>
          <w:b/>
        </w:rPr>
        <w:tab/>
      </w:r>
      <w:r w:rsidRPr="00F971AA">
        <w:rPr>
          <w:b/>
        </w:rPr>
        <w:t>Pricing Options Compared with Project O</w:t>
      </w:r>
      <w:r w:rsidR="00500607" w:rsidRPr="00F971AA">
        <w:rPr>
          <w:b/>
        </w:rPr>
        <w:t>bjectives</w:t>
      </w:r>
    </w:p>
    <w:p w:rsidR="00500607" w:rsidRDefault="00500607" w:rsidP="002C7401">
      <w:pPr>
        <w:rPr>
          <w:b/>
        </w:rPr>
      </w:pPr>
    </w:p>
    <w:p w:rsidR="005F2040" w:rsidRPr="005F2040" w:rsidRDefault="005F2040" w:rsidP="002C7401">
      <w:r w:rsidRPr="005F2040">
        <w:t>The table below</w:t>
      </w:r>
      <w:r>
        <w:t xml:space="preserve"> compares each option with the Lets P</w:t>
      </w:r>
      <w:r w:rsidRPr="005F2040">
        <w:t>roject objectives</w:t>
      </w:r>
    </w:p>
    <w:p w:rsidR="005F2040" w:rsidRPr="00CF78DA" w:rsidRDefault="005F2040" w:rsidP="002C7401">
      <w:pPr>
        <w:rPr>
          <w:b/>
        </w:rPr>
      </w:pPr>
    </w:p>
    <w:tbl>
      <w:tblPr>
        <w:tblStyle w:val="TableGrid"/>
        <w:tblW w:w="0" w:type="auto"/>
        <w:tblLook w:val="04A0" w:firstRow="1" w:lastRow="0" w:firstColumn="1" w:lastColumn="0" w:noHBand="0" w:noVBand="1"/>
      </w:tblPr>
      <w:tblGrid>
        <w:gridCol w:w="4940"/>
        <w:gridCol w:w="1108"/>
        <w:gridCol w:w="1080"/>
        <w:gridCol w:w="1080"/>
        <w:gridCol w:w="1034"/>
      </w:tblGrid>
      <w:tr w:rsidR="0074330C" w:rsidRPr="00500607" w:rsidTr="000432CA">
        <w:tc>
          <w:tcPr>
            <w:tcW w:w="4940" w:type="dxa"/>
          </w:tcPr>
          <w:p w:rsidR="0074330C" w:rsidRPr="00500607" w:rsidRDefault="0074330C" w:rsidP="00243B64">
            <w:pPr>
              <w:spacing w:line="276" w:lineRule="auto"/>
              <w:rPr>
                <w:b/>
                <w:sz w:val="20"/>
                <w:szCs w:val="20"/>
              </w:rPr>
            </w:pPr>
            <w:r w:rsidRPr="00500607">
              <w:rPr>
                <w:b/>
                <w:sz w:val="20"/>
                <w:szCs w:val="20"/>
              </w:rPr>
              <w:t>Project Objective</w:t>
            </w:r>
          </w:p>
        </w:tc>
        <w:tc>
          <w:tcPr>
            <w:tcW w:w="1108" w:type="dxa"/>
          </w:tcPr>
          <w:p w:rsidR="000432CA" w:rsidRPr="00500607" w:rsidRDefault="00F971AA" w:rsidP="00243B64">
            <w:pPr>
              <w:spacing w:line="276" w:lineRule="auto"/>
              <w:rPr>
                <w:b/>
                <w:sz w:val="20"/>
                <w:szCs w:val="20"/>
              </w:rPr>
            </w:pPr>
            <w:r>
              <w:rPr>
                <w:b/>
                <w:sz w:val="20"/>
                <w:szCs w:val="20"/>
              </w:rPr>
              <w:t>Option 1</w:t>
            </w:r>
          </w:p>
        </w:tc>
        <w:tc>
          <w:tcPr>
            <w:tcW w:w="1080" w:type="dxa"/>
          </w:tcPr>
          <w:p w:rsidR="0074330C" w:rsidRPr="00500607" w:rsidRDefault="00F971AA" w:rsidP="00243B64">
            <w:pPr>
              <w:spacing w:line="276" w:lineRule="auto"/>
              <w:rPr>
                <w:b/>
                <w:sz w:val="20"/>
                <w:szCs w:val="20"/>
              </w:rPr>
            </w:pPr>
            <w:r>
              <w:rPr>
                <w:b/>
                <w:sz w:val="20"/>
                <w:szCs w:val="20"/>
              </w:rPr>
              <w:t>Option 2</w:t>
            </w:r>
          </w:p>
        </w:tc>
        <w:tc>
          <w:tcPr>
            <w:tcW w:w="1080" w:type="dxa"/>
          </w:tcPr>
          <w:p w:rsidR="0074330C" w:rsidRPr="00500607" w:rsidRDefault="00F971AA" w:rsidP="00243B64">
            <w:pPr>
              <w:spacing w:line="276" w:lineRule="auto"/>
              <w:rPr>
                <w:b/>
                <w:sz w:val="20"/>
                <w:szCs w:val="20"/>
              </w:rPr>
            </w:pPr>
            <w:r>
              <w:rPr>
                <w:b/>
                <w:sz w:val="20"/>
                <w:szCs w:val="20"/>
              </w:rPr>
              <w:t>Option 3</w:t>
            </w:r>
          </w:p>
        </w:tc>
        <w:tc>
          <w:tcPr>
            <w:tcW w:w="1034" w:type="dxa"/>
          </w:tcPr>
          <w:p w:rsidR="0074330C" w:rsidRPr="00500607" w:rsidRDefault="00F971AA" w:rsidP="00243B64">
            <w:pPr>
              <w:spacing w:line="276" w:lineRule="auto"/>
              <w:rPr>
                <w:b/>
                <w:sz w:val="20"/>
                <w:szCs w:val="20"/>
              </w:rPr>
            </w:pPr>
            <w:r>
              <w:rPr>
                <w:b/>
                <w:sz w:val="20"/>
                <w:szCs w:val="20"/>
              </w:rPr>
              <w:t>Option 4</w:t>
            </w:r>
          </w:p>
        </w:tc>
      </w:tr>
      <w:tr w:rsidR="0074330C" w:rsidRPr="00500607" w:rsidTr="000432CA">
        <w:tc>
          <w:tcPr>
            <w:tcW w:w="4940" w:type="dxa"/>
          </w:tcPr>
          <w:p w:rsidR="0074330C" w:rsidRPr="00500607" w:rsidRDefault="00500607" w:rsidP="00243B64">
            <w:pPr>
              <w:spacing w:line="276" w:lineRule="auto"/>
              <w:contextualSpacing/>
              <w:rPr>
                <w:sz w:val="20"/>
                <w:szCs w:val="20"/>
              </w:rPr>
            </w:pPr>
            <w:r>
              <w:rPr>
                <w:sz w:val="20"/>
                <w:szCs w:val="20"/>
              </w:rPr>
              <w:t xml:space="preserve">1. </w:t>
            </w:r>
            <w:r w:rsidR="0074330C" w:rsidRPr="00500607">
              <w:rPr>
                <w:sz w:val="20"/>
                <w:szCs w:val="20"/>
              </w:rPr>
              <w:t>Increase public and community use of schools and other Council buildings</w:t>
            </w:r>
          </w:p>
        </w:tc>
        <w:tc>
          <w:tcPr>
            <w:tcW w:w="1108" w:type="dxa"/>
            <w:vAlign w:val="center"/>
          </w:tcPr>
          <w:p w:rsidR="0074330C" w:rsidRPr="005F2040" w:rsidRDefault="0074330C" w:rsidP="00243B64">
            <w:pPr>
              <w:spacing w:line="276" w:lineRule="auto"/>
              <w:jc w:val="center"/>
              <w:rPr>
                <w:sz w:val="28"/>
                <w:szCs w:val="20"/>
              </w:rPr>
            </w:pPr>
            <w:r w:rsidRPr="005F2040">
              <w:rPr>
                <w:sz w:val="28"/>
                <w:szCs w:val="20"/>
              </w:rPr>
              <w:sym w:font="Wingdings" w:char="F0FB"/>
            </w:r>
          </w:p>
        </w:tc>
        <w:tc>
          <w:tcPr>
            <w:tcW w:w="1080" w:type="dxa"/>
            <w:vAlign w:val="center"/>
          </w:tcPr>
          <w:p w:rsidR="0074330C" w:rsidRPr="005F2040" w:rsidRDefault="0074330C" w:rsidP="00243B64">
            <w:pPr>
              <w:spacing w:line="276" w:lineRule="auto"/>
              <w:jc w:val="center"/>
              <w:rPr>
                <w:sz w:val="28"/>
                <w:szCs w:val="20"/>
              </w:rPr>
            </w:pPr>
            <w:r w:rsidRPr="005F2040">
              <w:rPr>
                <w:sz w:val="28"/>
                <w:szCs w:val="20"/>
              </w:rPr>
              <w:sym w:font="Wingdings" w:char="F0FC"/>
            </w:r>
          </w:p>
        </w:tc>
        <w:tc>
          <w:tcPr>
            <w:tcW w:w="1080" w:type="dxa"/>
            <w:vAlign w:val="center"/>
          </w:tcPr>
          <w:p w:rsidR="0074330C" w:rsidRPr="005F2040" w:rsidRDefault="0074330C" w:rsidP="00243B64">
            <w:pPr>
              <w:spacing w:line="276" w:lineRule="auto"/>
              <w:jc w:val="center"/>
              <w:rPr>
                <w:sz w:val="28"/>
                <w:szCs w:val="20"/>
              </w:rPr>
            </w:pPr>
            <w:r w:rsidRPr="005F2040">
              <w:rPr>
                <w:sz w:val="28"/>
                <w:szCs w:val="20"/>
              </w:rPr>
              <w:sym w:font="Wingdings" w:char="F0FB"/>
            </w:r>
          </w:p>
        </w:tc>
        <w:tc>
          <w:tcPr>
            <w:tcW w:w="1034" w:type="dxa"/>
            <w:vAlign w:val="center"/>
          </w:tcPr>
          <w:p w:rsidR="0074330C" w:rsidRPr="005F2040" w:rsidRDefault="0074330C" w:rsidP="00243B64">
            <w:pPr>
              <w:spacing w:line="276" w:lineRule="auto"/>
              <w:jc w:val="center"/>
              <w:rPr>
                <w:sz w:val="28"/>
                <w:szCs w:val="20"/>
              </w:rPr>
            </w:pPr>
            <w:r w:rsidRPr="005F2040">
              <w:rPr>
                <w:sz w:val="28"/>
                <w:szCs w:val="20"/>
              </w:rPr>
              <w:sym w:font="Wingdings" w:char="F0FB"/>
            </w:r>
          </w:p>
        </w:tc>
      </w:tr>
      <w:tr w:rsidR="0074330C" w:rsidRPr="00500607" w:rsidTr="000432CA">
        <w:tc>
          <w:tcPr>
            <w:tcW w:w="4940" w:type="dxa"/>
          </w:tcPr>
          <w:p w:rsidR="0074330C" w:rsidRPr="00500607" w:rsidRDefault="00500607" w:rsidP="00243B64">
            <w:pPr>
              <w:spacing w:line="276" w:lineRule="auto"/>
              <w:contextualSpacing/>
              <w:rPr>
                <w:sz w:val="20"/>
                <w:szCs w:val="20"/>
              </w:rPr>
            </w:pPr>
            <w:r>
              <w:rPr>
                <w:sz w:val="20"/>
                <w:szCs w:val="20"/>
              </w:rPr>
              <w:t xml:space="preserve">2. </w:t>
            </w:r>
            <w:r w:rsidR="0074330C" w:rsidRPr="00500607">
              <w:rPr>
                <w:sz w:val="20"/>
                <w:szCs w:val="20"/>
              </w:rPr>
              <w:t xml:space="preserve">Generate income to cover both the full cost of providing the </w:t>
            </w:r>
            <w:r w:rsidR="00243B64">
              <w:rPr>
                <w:sz w:val="20"/>
                <w:szCs w:val="20"/>
              </w:rPr>
              <w:t>service and earn income for HC</w:t>
            </w:r>
          </w:p>
        </w:tc>
        <w:tc>
          <w:tcPr>
            <w:tcW w:w="1108" w:type="dxa"/>
            <w:vAlign w:val="center"/>
          </w:tcPr>
          <w:p w:rsidR="0074330C" w:rsidRPr="005F2040" w:rsidRDefault="000432CA" w:rsidP="00243B64">
            <w:pPr>
              <w:spacing w:line="276" w:lineRule="auto"/>
              <w:jc w:val="center"/>
              <w:rPr>
                <w:sz w:val="28"/>
                <w:szCs w:val="20"/>
              </w:rPr>
            </w:pPr>
            <w:r w:rsidRPr="005F2040">
              <w:rPr>
                <w:sz w:val="28"/>
                <w:szCs w:val="20"/>
              </w:rPr>
              <w:sym w:font="Wingdings" w:char="F0FB"/>
            </w:r>
          </w:p>
        </w:tc>
        <w:tc>
          <w:tcPr>
            <w:tcW w:w="1080" w:type="dxa"/>
            <w:vAlign w:val="center"/>
          </w:tcPr>
          <w:p w:rsidR="0074330C" w:rsidRPr="005F2040" w:rsidRDefault="00500607" w:rsidP="00243B64">
            <w:pPr>
              <w:spacing w:line="276" w:lineRule="auto"/>
              <w:jc w:val="center"/>
              <w:rPr>
                <w:sz w:val="28"/>
                <w:szCs w:val="20"/>
              </w:rPr>
            </w:pPr>
            <w:r w:rsidRPr="005F2040">
              <w:rPr>
                <w:sz w:val="28"/>
                <w:szCs w:val="20"/>
              </w:rPr>
              <w:sym w:font="Wingdings" w:char="F0FC"/>
            </w:r>
          </w:p>
        </w:tc>
        <w:tc>
          <w:tcPr>
            <w:tcW w:w="1080" w:type="dxa"/>
            <w:vAlign w:val="center"/>
          </w:tcPr>
          <w:p w:rsidR="0074330C" w:rsidRPr="005F2040" w:rsidRDefault="000432CA" w:rsidP="00243B64">
            <w:pPr>
              <w:spacing w:line="276" w:lineRule="auto"/>
              <w:jc w:val="center"/>
              <w:rPr>
                <w:sz w:val="28"/>
                <w:szCs w:val="20"/>
              </w:rPr>
            </w:pPr>
            <w:r w:rsidRPr="005F2040">
              <w:rPr>
                <w:sz w:val="28"/>
                <w:szCs w:val="20"/>
              </w:rPr>
              <w:sym w:font="Wingdings" w:char="F0FC"/>
            </w:r>
          </w:p>
        </w:tc>
        <w:tc>
          <w:tcPr>
            <w:tcW w:w="1034" w:type="dxa"/>
            <w:vAlign w:val="center"/>
          </w:tcPr>
          <w:p w:rsidR="0074330C" w:rsidRPr="005F2040" w:rsidRDefault="0074330C" w:rsidP="00243B64">
            <w:pPr>
              <w:spacing w:line="276" w:lineRule="auto"/>
              <w:jc w:val="center"/>
              <w:rPr>
                <w:sz w:val="28"/>
                <w:szCs w:val="20"/>
              </w:rPr>
            </w:pPr>
            <w:r w:rsidRPr="005F2040">
              <w:rPr>
                <w:sz w:val="28"/>
                <w:szCs w:val="20"/>
              </w:rPr>
              <w:sym w:font="Wingdings" w:char="F0FC"/>
            </w:r>
          </w:p>
        </w:tc>
      </w:tr>
      <w:tr w:rsidR="0074330C" w:rsidRPr="00500607" w:rsidTr="000432CA">
        <w:tc>
          <w:tcPr>
            <w:tcW w:w="4940" w:type="dxa"/>
          </w:tcPr>
          <w:p w:rsidR="0074330C" w:rsidRPr="00500607" w:rsidRDefault="00500607" w:rsidP="00243B64">
            <w:pPr>
              <w:spacing w:line="276" w:lineRule="auto"/>
              <w:contextualSpacing/>
              <w:rPr>
                <w:sz w:val="20"/>
                <w:szCs w:val="20"/>
              </w:rPr>
            </w:pPr>
            <w:r>
              <w:rPr>
                <w:sz w:val="20"/>
                <w:szCs w:val="20"/>
              </w:rPr>
              <w:t xml:space="preserve">3. </w:t>
            </w:r>
            <w:r w:rsidR="0074330C" w:rsidRPr="00500607">
              <w:rPr>
                <w:sz w:val="20"/>
                <w:szCs w:val="20"/>
              </w:rPr>
              <w:t>Provide a quick and efficient lets booking system</w:t>
            </w:r>
          </w:p>
          <w:p w:rsidR="0074330C" w:rsidRPr="00500607" w:rsidRDefault="0074330C" w:rsidP="00243B64">
            <w:pPr>
              <w:spacing w:line="276" w:lineRule="auto"/>
              <w:contextualSpacing/>
              <w:rPr>
                <w:sz w:val="20"/>
                <w:szCs w:val="20"/>
              </w:rPr>
            </w:pPr>
          </w:p>
        </w:tc>
        <w:tc>
          <w:tcPr>
            <w:tcW w:w="1108" w:type="dxa"/>
            <w:vAlign w:val="center"/>
          </w:tcPr>
          <w:p w:rsidR="0074330C" w:rsidRPr="005F2040" w:rsidRDefault="000432CA" w:rsidP="00243B64">
            <w:pPr>
              <w:spacing w:line="276" w:lineRule="auto"/>
              <w:jc w:val="center"/>
              <w:rPr>
                <w:sz w:val="28"/>
                <w:szCs w:val="20"/>
              </w:rPr>
            </w:pPr>
            <w:r w:rsidRPr="005F2040">
              <w:rPr>
                <w:sz w:val="28"/>
                <w:szCs w:val="20"/>
              </w:rPr>
              <w:t>-</w:t>
            </w:r>
          </w:p>
        </w:tc>
        <w:tc>
          <w:tcPr>
            <w:tcW w:w="1080" w:type="dxa"/>
            <w:vAlign w:val="center"/>
          </w:tcPr>
          <w:p w:rsidR="0074330C" w:rsidRPr="005F2040" w:rsidRDefault="0074330C" w:rsidP="00243B64">
            <w:pPr>
              <w:spacing w:line="276" w:lineRule="auto"/>
              <w:jc w:val="center"/>
              <w:rPr>
                <w:sz w:val="28"/>
                <w:szCs w:val="20"/>
              </w:rPr>
            </w:pPr>
            <w:r w:rsidRPr="005F2040">
              <w:rPr>
                <w:sz w:val="28"/>
                <w:szCs w:val="20"/>
              </w:rPr>
              <w:t>-</w:t>
            </w:r>
          </w:p>
        </w:tc>
        <w:tc>
          <w:tcPr>
            <w:tcW w:w="1080" w:type="dxa"/>
            <w:vAlign w:val="center"/>
          </w:tcPr>
          <w:p w:rsidR="0074330C" w:rsidRPr="005F2040" w:rsidRDefault="0074330C" w:rsidP="00243B64">
            <w:pPr>
              <w:spacing w:line="276" w:lineRule="auto"/>
              <w:jc w:val="center"/>
              <w:rPr>
                <w:sz w:val="28"/>
                <w:szCs w:val="20"/>
              </w:rPr>
            </w:pPr>
            <w:r w:rsidRPr="005F2040">
              <w:rPr>
                <w:sz w:val="28"/>
                <w:szCs w:val="20"/>
              </w:rPr>
              <w:t>-</w:t>
            </w:r>
          </w:p>
        </w:tc>
        <w:tc>
          <w:tcPr>
            <w:tcW w:w="1034" w:type="dxa"/>
            <w:vAlign w:val="center"/>
          </w:tcPr>
          <w:p w:rsidR="0074330C" w:rsidRPr="005F2040" w:rsidRDefault="0074330C" w:rsidP="00243B64">
            <w:pPr>
              <w:spacing w:line="276" w:lineRule="auto"/>
              <w:jc w:val="center"/>
              <w:rPr>
                <w:sz w:val="28"/>
                <w:szCs w:val="20"/>
              </w:rPr>
            </w:pPr>
            <w:r w:rsidRPr="005F2040">
              <w:rPr>
                <w:sz w:val="28"/>
                <w:szCs w:val="20"/>
              </w:rPr>
              <w:t>-</w:t>
            </w:r>
          </w:p>
        </w:tc>
      </w:tr>
      <w:tr w:rsidR="0074330C" w:rsidRPr="00500607" w:rsidTr="000432CA">
        <w:tc>
          <w:tcPr>
            <w:tcW w:w="4940" w:type="dxa"/>
          </w:tcPr>
          <w:p w:rsidR="0074330C" w:rsidRPr="00500607" w:rsidRDefault="00500607" w:rsidP="00243B64">
            <w:pPr>
              <w:spacing w:line="276" w:lineRule="auto"/>
              <w:contextualSpacing/>
              <w:rPr>
                <w:sz w:val="20"/>
                <w:szCs w:val="20"/>
              </w:rPr>
            </w:pPr>
            <w:r>
              <w:rPr>
                <w:sz w:val="20"/>
                <w:szCs w:val="20"/>
              </w:rPr>
              <w:t xml:space="preserve">4. </w:t>
            </w:r>
            <w:r w:rsidR="0074330C" w:rsidRPr="00500607">
              <w:rPr>
                <w:sz w:val="20"/>
                <w:szCs w:val="20"/>
              </w:rPr>
              <w:t>Provide a seamless approac</w:t>
            </w:r>
            <w:r w:rsidR="00243B64">
              <w:rPr>
                <w:sz w:val="20"/>
                <w:szCs w:val="20"/>
              </w:rPr>
              <w:t>h alongside HLH and PPP schools</w:t>
            </w:r>
          </w:p>
        </w:tc>
        <w:tc>
          <w:tcPr>
            <w:tcW w:w="1108" w:type="dxa"/>
            <w:vAlign w:val="center"/>
          </w:tcPr>
          <w:p w:rsidR="0074330C" w:rsidRPr="005F2040" w:rsidRDefault="00386DB3" w:rsidP="00243B64">
            <w:pPr>
              <w:spacing w:line="276" w:lineRule="auto"/>
              <w:jc w:val="center"/>
              <w:rPr>
                <w:sz w:val="28"/>
                <w:szCs w:val="20"/>
              </w:rPr>
            </w:pPr>
            <w:r w:rsidRPr="005F2040">
              <w:rPr>
                <w:sz w:val="28"/>
                <w:szCs w:val="20"/>
              </w:rPr>
              <w:sym w:font="Wingdings" w:char="F0FC"/>
            </w:r>
          </w:p>
        </w:tc>
        <w:tc>
          <w:tcPr>
            <w:tcW w:w="1080" w:type="dxa"/>
            <w:vAlign w:val="center"/>
          </w:tcPr>
          <w:p w:rsidR="0074330C" w:rsidRPr="005F2040" w:rsidRDefault="0074330C" w:rsidP="00243B64">
            <w:pPr>
              <w:spacing w:line="276" w:lineRule="auto"/>
              <w:jc w:val="center"/>
              <w:rPr>
                <w:sz w:val="28"/>
                <w:szCs w:val="20"/>
              </w:rPr>
            </w:pPr>
            <w:r w:rsidRPr="005F2040">
              <w:rPr>
                <w:sz w:val="28"/>
                <w:szCs w:val="20"/>
              </w:rPr>
              <w:sym w:font="Wingdings" w:char="F0FC"/>
            </w:r>
          </w:p>
        </w:tc>
        <w:tc>
          <w:tcPr>
            <w:tcW w:w="1080" w:type="dxa"/>
            <w:vAlign w:val="center"/>
          </w:tcPr>
          <w:p w:rsidR="0074330C" w:rsidRPr="005F2040" w:rsidRDefault="0074330C" w:rsidP="00243B64">
            <w:pPr>
              <w:spacing w:line="276" w:lineRule="auto"/>
              <w:jc w:val="center"/>
              <w:rPr>
                <w:sz w:val="28"/>
                <w:szCs w:val="20"/>
              </w:rPr>
            </w:pPr>
            <w:r w:rsidRPr="005F2040">
              <w:rPr>
                <w:sz w:val="28"/>
                <w:szCs w:val="20"/>
              </w:rPr>
              <w:sym w:font="Wingdings" w:char="F0FB"/>
            </w:r>
          </w:p>
        </w:tc>
        <w:tc>
          <w:tcPr>
            <w:tcW w:w="1034" w:type="dxa"/>
            <w:vAlign w:val="center"/>
          </w:tcPr>
          <w:p w:rsidR="0074330C" w:rsidRPr="005F2040" w:rsidRDefault="0074330C" w:rsidP="00243B64">
            <w:pPr>
              <w:spacing w:line="276" w:lineRule="auto"/>
              <w:jc w:val="center"/>
              <w:rPr>
                <w:sz w:val="28"/>
                <w:szCs w:val="20"/>
              </w:rPr>
            </w:pPr>
            <w:r w:rsidRPr="005F2040">
              <w:rPr>
                <w:sz w:val="28"/>
                <w:szCs w:val="20"/>
              </w:rPr>
              <w:sym w:font="Wingdings" w:char="F0FB"/>
            </w:r>
          </w:p>
        </w:tc>
      </w:tr>
      <w:tr w:rsidR="0074330C" w:rsidRPr="00500607" w:rsidTr="000432CA">
        <w:tc>
          <w:tcPr>
            <w:tcW w:w="4940" w:type="dxa"/>
          </w:tcPr>
          <w:p w:rsidR="0074330C" w:rsidRPr="00500607" w:rsidRDefault="00500607" w:rsidP="00243B64">
            <w:pPr>
              <w:spacing w:line="276" w:lineRule="auto"/>
              <w:contextualSpacing/>
              <w:rPr>
                <w:sz w:val="20"/>
                <w:szCs w:val="20"/>
              </w:rPr>
            </w:pPr>
            <w:r>
              <w:rPr>
                <w:sz w:val="20"/>
                <w:szCs w:val="20"/>
              </w:rPr>
              <w:t xml:space="preserve">5. </w:t>
            </w:r>
            <w:r w:rsidR="0074330C" w:rsidRPr="00500607">
              <w:rPr>
                <w:sz w:val="20"/>
                <w:szCs w:val="20"/>
              </w:rPr>
              <w:t>Reduce the administrative burd</w:t>
            </w:r>
            <w:r w:rsidR="00243B64">
              <w:rPr>
                <w:sz w:val="20"/>
                <w:szCs w:val="20"/>
              </w:rPr>
              <w:t>en on HTs, school offices, RPOs</w:t>
            </w:r>
          </w:p>
        </w:tc>
        <w:tc>
          <w:tcPr>
            <w:tcW w:w="1108" w:type="dxa"/>
            <w:vAlign w:val="center"/>
          </w:tcPr>
          <w:p w:rsidR="0074330C" w:rsidRPr="005F2040" w:rsidRDefault="000432CA" w:rsidP="00243B64">
            <w:pPr>
              <w:spacing w:line="276" w:lineRule="auto"/>
              <w:jc w:val="center"/>
              <w:rPr>
                <w:sz w:val="28"/>
                <w:szCs w:val="20"/>
              </w:rPr>
            </w:pPr>
            <w:r w:rsidRPr="005F2040">
              <w:rPr>
                <w:sz w:val="28"/>
                <w:szCs w:val="20"/>
              </w:rPr>
              <w:t>-</w:t>
            </w:r>
          </w:p>
        </w:tc>
        <w:tc>
          <w:tcPr>
            <w:tcW w:w="1080" w:type="dxa"/>
            <w:vAlign w:val="center"/>
          </w:tcPr>
          <w:p w:rsidR="0074330C" w:rsidRPr="005F2040" w:rsidRDefault="0074330C" w:rsidP="00243B64">
            <w:pPr>
              <w:spacing w:line="276" w:lineRule="auto"/>
              <w:jc w:val="center"/>
              <w:rPr>
                <w:sz w:val="28"/>
                <w:szCs w:val="20"/>
              </w:rPr>
            </w:pPr>
            <w:r w:rsidRPr="005F2040">
              <w:rPr>
                <w:sz w:val="28"/>
                <w:szCs w:val="20"/>
              </w:rPr>
              <w:t>-</w:t>
            </w:r>
          </w:p>
        </w:tc>
        <w:tc>
          <w:tcPr>
            <w:tcW w:w="1080" w:type="dxa"/>
            <w:vAlign w:val="center"/>
          </w:tcPr>
          <w:p w:rsidR="0074330C" w:rsidRPr="005F2040" w:rsidRDefault="0074330C" w:rsidP="00243B64">
            <w:pPr>
              <w:spacing w:line="276" w:lineRule="auto"/>
              <w:jc w:val="center"/>
              <w:rPr>
                <w:sz w:val="28"/>
                <w:szCs w:val="20"/>
              </w:rPr>
            </w:pPr>
            <w:r w:rsidRPr="005F2040">
              <w:rPr>
                <w:sz w:val="28"/>
                <w:szCs w:val="20"/>
              </w:rPr>
              <w:t>-</w:t>
            </w:r>
          </w:p>
        </w:tc>
        <w:tc>
          <w:tcPr>
            <w:tcW w:w="1034" w:type="dxa"/>
            <w:vAlign w:val="center"/>
          </w:tcPr>
          <w:p w:rsidR="0074330C" w:rsidRPr="005F2040" w:rsidRDefault="0074330C" w:rsidP="00243B64">
            <w:pPr>
              <w:spacing w:line="276" w:lineRule="auto"/>
              <w:jc w:val="center"/>
              <w:rPr>
                <w:sz w:val="28"/>
                <w:szCs w:val="20"/>
              </w:rPr>
            </w:pPr>
            <w:r w:rsidRPr="005F2040">
              <w:rPr>
                <w:sz w:val="28"/>
                <w:szCs w:val="20"/>
              </w:rPr>
              <w:t>-</w:t>
            </w:r>
          </w:p>
        </w:tc>
      </w:tr>
    </w:tbl>
    <w:p w:rsidR="00B80155" w:rsidRDefault="00B80155" w:rsidP="002C7401"/>
    <w:p w:rsidR="00500607" w:rsidRDefault="00B80155" w:rsidP="002C7401">
      <w:r w:rsidRPr="00C97109">
        <w:t>Note,</w:t>
      </w:r>
      <w:r w:rsidR="00500607" w:rsidRPr="00C97109">
        <w:t xml:space="preserve"> the second objective refers to covering the cost of lets rather than achieving the savings target whi</w:t>
      </w:r>
      <w:r w:rsidRPr="00C97109">
        <w:t>ch is only achieved by Option 4.</w:t>
      </w:r>
      <w:r w:rsidR="00500607" w:rsidRPr="00C97109">
        <w:t xml:space="preserve"> </w:t>
      </w:r>
      <w:r w:rsidRPr="00C97109">
        <w:t>Option</w:t>
      </w:r>
      <w:r w:rsidR="00C97109">
        <w:t>s 2 and 3 have the p</w:t>
      </w:r>
      <w:r w:rsidRPr="00C97109">
        <w:t>ote</w:t>
      </w:r>
      <w:r w:rsidR="00C97109">
        <w:t>n</w:t>
      </w:r>
      <w:r w:rsidRPr="00C97109">
        <w:t xml:space="preserve">tial to </w:t>
      </w:r>
      <w:r w:rsidR="00C97109">
        <w:t>cover the actual costs associated</w:t>
      </w:r>
      <w:r w:rsidRPr="00C97109">
        <w:t xml:space="preserve"> with lets (rather</w:t>
      </w:r>
      <w:r w:rsidR="00C97109">
        <w:t xml:space="preserve"> </w:t>
      </w:r>
      <w:r w:rsidRPr="00C97109">
        <w:t>than</w:t>
      </w:r>
      <w:r w:rsidR="00C97109">
        <w:t xml:space="preserve"> the savings target) particularly once schools open for l</w:t>
      </w:r>
      <w:r w:rsidRPr="00C97109">
        <w:t>ets have b</w:t>
      </w:r>
      <w:r w:rsidR="00C97109">
        <w:t>een</w:t>
      </w:r>
      <w:r w:rsidRPr="00C97109">
        <w:t xml:space="preserve"> rationalised. However </w:t>
      </w:r>
      <w:r w:rsidR="00C97109">
        <w:t>Option</w:t>
      </w:r>
      <w:r w:rsidRPr="00C97109">
        <w:t xml:space="preserve"> 2 will take </w:t>
      </w:r>
      <w:r w:rsidR="00C97109">
        <w:t>long</w:t>
      </w:r>
      <w:r w:rsidRPr="00C97109">
        <w:t>er to</w:t>
      </w:r>
      <w:r w:rsidR="00C97109">
        <w:t xml:space="preserve"> </w:t>
      </w:r>
      <w:r w:rsidRPr="00C97109">
        <w:t>reach this</w:t>
      </w:r>
      <w:r w:rsidR="00C97109">
        <w:t xml:space="preserve"> position than Option 3,</w:t>
      </w:r>
      <w:r w:rsidRPr="00C97109">
        <w:t xml:space="preserve"> </w:t>
      </w:r>
      <w:r w:rsidR="00C97109" w:rsidRPr="00C97109">
        <w:t>assuming</w:t>
      </w:r>
      <w:r w:rsidR="00C97109">
        <w:t xml:space="preserve"> volumes</w:t>
      </w:r>
      <w:r w:rsidRPr="00C97109">
        <w:t xml:space="preserve"> remain constant.</w:t>
      </w:r>
      <w:r w:rsidR="00C97109">
        <w:t xml:space="preserve"> If they d</w:t>
      </w:r>
      <w:r w:rsidRPr="00C97109">
        <w:t>o</w:t>
      </w:r>
      <w:r w:rsidR="00C97109">
        <w:t xml:space="preserve"> </w:t>
      </w:r>
      <w:r w:rsidRPr="00C97109">
        <w:t>not</w:t>
      </w:r>
      <w:r w:rsidR="00C97109">
        <w:t xml:space="preserve"> the10% year on year increases increase could impact volumes to the extent that income is less than that earned under Option 2.</w:t>
      </w:r>
      <w:r w:rsidRPr="00C97109">
        <w:t xml:space="preserve"> </w:t>
      </w:r>
    </w:p>
    <w:p w:rsidR="00C97109" w:rsidRDefault="00C97109" w:rsidP="002C7401">
      <w:pPr>
        <w:rPr>
          <w:b/>
        </w:rPr>
      </w:pPr>
    </w:p>
    <w:p w:rsidR="00500607" w:rsidRPr="00CF78DA" w:rsidRDefault="00386DB3" w:rsidP="002C7401">
      <w:r>
        <w:t>T</w:t>
      </w:r>
      <w:r w:rsidR="00500607" w:rsidRPr="00CF78DA">
        <w:t xml:space="preserve">he above appraisal of the options </w:t>
      </w:r>
      <w:r w:rsidR="00CF78DA">
        <w:t>against the pr</w:t>
      </w:r>
      <w:r w:rsidR="00500607" w:rsidRPr="00CF78DA">
        <w:t>oj</w:t>
      </w:r>
      <w:r>
        <w:t>ect objectives, identifies</w:t>
      </w:r>
      <w:r w:rsidR="00500607" w:rsidRPr="00CF78DA">
        <w:t xml:space="preserve"> Option 1 as the</w:t>
      </w:r>
      <w:r w:rsidR="00CF78DA">
        <w:t xml:space="preserve"> favoured</w:t>
      </w:r>
      <w:r w:rsidR="00500607" w:rsidRPr="00CF78DA">
        <w:t xml:space="preserve"> option</w:t>
      </w:r>
      <w:r>
        <w:t xml:space="preserve"> which the project would propose</w:t>
      </w:r>
      <w:r w:rsidR="00CF78DA">
        <w:t xml:space="preserve"> for implementation</w:t>
      </w:r>
      <w:r w:rsidR="00095555">
        <w:t xml:space="preserve">. </w:t>
      </w:r>
      <w:r w:rsidR="00500607" w:rsidRPr="00CF78DA">
        <w:t>No</w:t>
      </w:r>
      <w:r w:rsidR="00CF78DA">
        <w:t>netheles</w:t>
      </w:r>
      <w:r w:rsidR="00500607" w:rsidRPr="00CF78DA">
        <w:t>s it is</w:t>
      </w:r>
      <w:r w:rsidR="00CF78DA">
        <w:t xml:space="preserve"> recognised there</w:t>
      </w:r>
      <w:r w:rsidR="00B80155">
        <w:t xml:space="preserve"> are</w:t>
      </w:r>
      <w:r w:rsidR="00CF78DA">
        <w:t xml:space="preserve"> other o</w:t>
      </w:r>
      <w:r w:rsidR="00500607" w:rsidRPr="00CF78DA">
        <w:t>bjectives to fulfil</w:t>
      </w:r>
      <w:r w:rsidR="00095555">
        <w:t>,</w:t>
      </w:r>
      <w:r w:rsidR="00500607" w:rsidRPr="00CF78DA">
        <w:t xml:space="preserve"> in </w:t>
      </w:r>
      <w:r w:rsidR="00CF78DA">
        <w:t xml:space="preserve">particular </w:t>
      </w:r>
      <w:r w:rsidR="00CF78DA" w:rsidRPr="00CF78DA">
        <w:t>achieving</w:t>
      </w:r>
      <w:r w:rsidR="00500607" w:rsidRPr="00CF78DA">
        <w:t xml:space="preserve"> the outstanding </w:t>
      </w:r>
      <w:r w:rsidR="00CF78DA" w:rsidRPr="00CF78DA">
        <w:t>savings</w:t>
      </w:r>
      <w:r w:rsidR="00095555">
        <w:t xml:space="preserve"> target.</w:t>
      </w:r>
      <w:r w:rsidR="00500607" w:rsidRPr="00CF78DA">
        <w:t xml:space="preserve"> </w:t>
      </w:r>
    </w:p>
    <w:p w:rsidR="000457DB" w:rsidRDefault="000457DB" w:rsidP="000457DB">
      <w:pPr>
        <w:rPr>
          <w:b/>
        </w:rPr>
      </w:pPr>
    </w:p>
    <w:p w:rsidR="000432CA" w:rsidRPr="00CF78DA" w:rsidRDefault="00CF78DA" w:rsidP="000457DB">
      <w:pPr>
        <w:rPr>
          <w:b/>
        </w:rPr>
      </w:pPr>
      <w:r w:rsidRPr="00CF78DA">
        <w:rPr>
          <w:b/>
        </w:rPr>
        <w:t>7</w:t>
      </w:r>
      <w:r w:rsidRPr="00CF78DA">
        <w:rPr>
          <w:b/>
        </w:rPr>
        <w:tab/>
        <w:t>Issues f</w:t>
      </w:r>
      <w:r w:rsidR="001F4161">
        <w:rPr>
          <w:b/>
        </w:rPr>
        <w:t>or</w:t>
      </w:r>
      <w:r w:rsidR="000432CA" w:rsidRPr="00CF78DA">
        <w:rPr>
          <w:b/>
        </w:rPr>
        <w:t xml:space="preserve"> </w:t>
      </w:r>
      <w:r w:rsidR="001F4161">
        <w:rPr>
          <w:b/>
        </w:rPr>
        <w:t>Redesign Board C</w:t>
      </w:r>
      <w:r w:rsidRPr="00CF78DA">
        <w:rPr>
          <w:b/>
        </w:rPr>
        <w:t>onsideration</w:t>
      </w:r>
    </w:p>
    <w:p w:rsidR="000457DB" w:rsidRDefault="000457DB" w:rsidP="00B16EBD"/>
    <w:p w:rsidR="00B16EBD" w:rsidRDefault="00B16EBD" w:rsidP="000457DB">
      <w:pPr>
        <w:pStyle w:val="ListParagraph"/>
        <w:numPr>
          <w:ilvl w:val="0"/>
          <w:numId w:val="48"/>
        </w:numPr>
      </w:pPr>
      <w:r>
        <w:t xml:space="preserve">Discussion, suggestions and guidance on </w:t>
      </w:r>
      <w:r w:rsidR="000457DB">
        <w:t>issues raised in the report, in particular:</w:t>
      </w:r>
    </w:p>
    <w:p w:rsidR="00B16EBD" w:rsidRDefault="000457DB" w:rsidP="000457DB">
      <w:pPr>
        <w:pStyle w:val="ListParagraph"/>
        <w:numPr>
          <w:ilvl w:val="0"/>
          <w:numId w:val="47"/>
        </w:numPr>
      </w:pPr>
      <w:r>
        <w:t>The principle and process for rationalising schools</w:t>
      </w:r>
      <w:r w:rsidR="00B16EBD" w:rsidRPr="00B16EBD">
        <w:t xml:space="preserve"> available for let</w:t>
      </w:r>
      <w:r w:rsidR="001A3879">
        <w:t>s</w:t>
      </w:r>
    </w:p>
    <w:p w:rsidR="000457DB" w:rsidRPr="00B16EBD" w:rsidRDefault="000457DB" w:rsidP="000457DB">
      <w:pPr>
        <w:pStyle w:val="ListParagraph"/>
        <w:numPr>
          <w:ilvl w:val="0"/>
          <w:numId w:val="47"/>
        </w:numPr>
      </w:pPr>
      <w:r>
        <w:t>Amendments to the pricing structure</w:t>
      </w:r>
    </w:p>
    <w:p w:rsidR="00A32DA0" w:rsidRPr="00B16EBD" w:rsidRDefault="001A3879" w:rsidP="000457DB">
      <w:pPr>
        <w:pStyle w:val="ListParagraph"/>
        <w:numPr>
          <w:ilvl w:val="0"/>
          <w:numId w:val="47"/>
        </w:numPr>
      </w:pPr>
      <w:r w:rsidRPr="00B16EBD">
        <w:t>Free lets</w:t>
      </w:r>
    </w:p>
    <w:p w:rsidR="00B16EBD" w:rsidRDefault="00B16EBD" w:rsidP="000457DB">
      <w:pPr>
        <w:pStyle w:val="ListParagraph"/>
        <w:numPr>
          <w:ilvl w:val="0"/>
          <w:numId w:val="47"/>
        </w:numPr>
      </w:pPr>
      <w:r>
        <w:t>Option</w:t>
      </w:r>
      <w:r w:rsidR="000457DB">
        <w:t>s</w:t>
      </w:r>
      <w:r>
        <w:t xml:space="preserve"> for future pricin</w:t>
      </w:r>
      <w:r w:rsidR="000457DB">
        <w:t>g.</w:t>
      </w:r>
    </w:p>
    <w:p w:rsidR="000457DB" w:rsidRDefault="000457DB" w:rsidP="000457DB"/>
    <w:p w:rsidR="000457DB" w:rsidRDefault="000457DB" w:rsidP="000457DB">
      <w:pPr>
        <w:pStyle w:val="ListParagraph"/>
        <w:numPr>
          <w:ilvl w:val="0"/>
          <w:numId w:val="48"/>
        </w:numPr>
      </w:pPr>
      <w:r>
        <w:t>Identification of any additional issues or options to follow up.</w:t>
      </w:r>
    </w:p>
    <w:p w:rsidR="000457DB" w:rsidRDefault="000457DB" w:rsidP="000457DB"/>
    <w:p w:rsidR="000457DB" w:rsidRPr="00B16EBD" w:rsidRDefault="000457DB" w:rsidP="000457DB">
      <w:pPr>
        <w:pStyle w:val="ListParagraph"/>
        <w:numPr>
          <w:ilvl w:val="0"/>
          <w:numId w:val="48"/>
        </w:numPr>
      </w:pPr>
      <w:r>
        <w:t>Guidance on next steps</w:t>
      </w:r>
      <w:r w:rsidR="000D0643">
        <w:t xml:space="preserve">: </w:t>
      </w:r>
      <w:r w:rsidR="004B0EF6">
        <w:t>further analysis</w:t>
      </w:r>
      <w:r w:rsidR="000D0643">
        <w:t xml:space="preserve"> required, </w:t>
      </w:r>
      <w:r w:rsidR="004B0EF6">
        <w:t>whether</w:t>
      </w:r>
      <w:r>
        <w:t xml:space="preserve"> </w:t>
      </w:r>
      <w:r w:rsidR="001A3879">
        <w:t>proposals</w:t>
      </w:r>
      <w:r>
        <w:t xml:space="preserve"> </w:t>
      </w:r>
      <w:r w:rsidR="004B0EF6">
        <w:t xml:space="preserve">are </w:t>
      </w:r>
      <w:r w:rsidR="000D0643">
        <w:t>ready for Committee, etc.</w:t>
      </w:r>
    </w:p>
    <w:p w:rsidR="00B16EBD" w:rsidRDefault="00B16EBD" w:rsidP="00B16EBD">
      <w:pPr>
        <w:ind w:left="360"/>
      </w:pPr>
    </w:p>
    <w:p w:rsidR="000C66B4" w:rsidRDefault="000C66B4">
      <w:pPr>
        <w:spacing w:after="200"/>
        <w:rPr>
          <w:b/>
        </w:rPr>
      </w:pPr>
      <w:r>
        <w:rPr>
          <w:b/>
        </w:rPr>
        <w:br w:type="page"/>
      </w:r>
    </w:p>
    <w:p w:rsidR="002C7401" w:rsidRPr="00C82C00" w:rsidRDefault="002C7401" w:rsidP="002C7401">
      <w:pPr>
        <w:rPr>
          <w:b/>
        </w:rPr>
      </w:pPr>
      <w:r w:rsidRPr="00C82C00">
        <w:rPr>
          <w:b/>
        </w:rPr>
        <w:t>Appendix 1 Current Lets Pricing policy (2017/18 rates)</w:t>
      </w:r>
    </w:p>
    <w:p w:rsidR="002C7401" w:rsidRDefault="002C7401" w:rsidP="002C7401"/>
    <w:tbl>
      <w:tblPr>
        <w:tblW w:w="0" w:type="auto"/>
        <w:tblInd w:w="-176" w:type="dxa"/>
        <w:tblLayout w:type="fixed"/>
        <w:tblLook w:val="04A0" w:firstRow="1" w:lastRow="0" w:firstColumn="1" w:lastColumn="0" w:noHBand="0" w:noVBand="1"/>
      </w:tblPr>
      <w:tblGrid>
        <w:gridCol w:w="5246"/>
        <w:gridCol w:w="1275"/>
        <w:gridCol w:w="1004"/>
        <w:gridCol w:w="994"/>
        <w:gridCol w:w="236"/>
        <w:gridCol w:w="743"/>
      </w:tblGrid>
      <w:tr w:rsidR="002C7401" w:rsidRPr="007D3FB9" w:rsidTr="002C7401">
        <w:trPr>
          <w:trHeight w:val="302"/>
        </w:trPr>
        <w:tc>
          <w:tcPr>
            <w:tcW w:w="8755" w:type="dxa"/>
            <w:gridSpan w:val="5"/>
            <w:tcBorders>
              <w:top w:val="nil"/>
              <w:left w:val="nil"/>
              <w:bottom w:val="nil"/>
              <w:right w:val="nil"/>
            </w:tcBorders>
            <w:shd w:val="clear" w:color="auto" w:fill="auto"/>
            <w:noWrap/>
            <w:vAlign w:val="bottom"/>
            <w:hideMark/>
          </w:tcPr>
          <w:p w:rsidR="002C7401" w:rsidRPr="007D3FB9" w:rsidRDefault="002C7401" w:rsidP="002C7401">
            <w:pPr>
              <w:spacing w:line="240" w:lineRule="auto"/>
              <w:rPr>
                <w:b/>
                <w:bCs/>
                <w:color w:val="000000"/>
              </w:rPr>
            </w:pPr>
            <w:r>
              <w:rPr>
                <w:b/>
                <w:sz w:val="18"/>
                <w:szCs w:val="18"/>
                <w:lang w:eastAsia="en-GB"/>
              </w:rPr>
              <w:br w:type="page"/>
            </w:r>
            <w:r w:rsidRPr="007D3FB9">
              <w:rPr>
                <w:b/>
                <w:bCs/>
                <w:color w:val="000000"/>
              </w:rPr>
              <w:t>S</w:t>
            </w:r>
            <w:r>
              <w:rPr>
                <w:b/>
                <w:bCs/>
                <w:color w:val="000000"/>
              </w:rPr>
              <w:t xml:space="preserve">CHOOL LET CHARGES </w:t>
            </w:r>
          </w:p>
        </w:tc>
        <w:tc>
          <w:tcPr>
            <w:tcW w:w="743" w:type="dxa"/>
            <w:tcBorders>
              <w:top w:val="nil"/>
              <w:left w:val="nil"/>
              <w:bottom w:val="nil"/>
              <w:right w:val="nil"/>
            </w:tcBorders>
            <w:shd w:val="clear" w:color="auto" w:fill="auto"/>
            <w:noWrap/>
            <w:vAlign w:val="bottom"/>
            <w:hideMark/>
          </w:tcPr>
          <w:p w:rsidR="002C7401" w:rsidRPr="007D3FB9" w:rsidRDefault="002C7401" w:rsidP="002C7401">
            <w:pPr>
              <w:rPr>
                <w:color w:val="000000"/>
              </w:rPr>
            </w:pPr>
          </w:p>
        </w:tc>
      </w:tr>
      <w:tr w:rsidR="002C7401" w:rsidRPr="007D3FB9" w:rsidTr="002C7401">
        <w:trPr>
          <w:trHeight w:val="254"/>
        </w:trPr>
        <w:tc>
          <w:tcPr>
            <w:tcW w:w="5246" w:type="dxa"/>
            <w:tcBorders>
              <w:top w:val="single" w:sz="4" w:space="0" w:color="auto"/>
              <w:left w:val="single" w:sz="4" w:space="0" w:color="auto"/>
              <w:bottom w:val="single" w:sz="4" w:space="0" w:color="auto"/>
              <w:right w:val="single" w:sz="4" w:space="0" w:color="auto"/>
            </w:tcBorders>
            <w:shd w:val="clear" w:color="000000" w:fill="D9D9D9"/>
            <w:noWrap/>
            <w:hideMark/>
          </w:tcPr>
          <w:p w:rsidR="002C7401" w:rsidRPr="007D3FB9" w:rsidRDefault="002C7401" w:rsidP="002C7401">
            <w:pPr>
              <w:spacing w:line="240" w:lineRule="auto"/>
              <w:rPr>
                <w:b/>
                <w:bCs/>
                <w:sz w:val="18"/>
                <w:szCs w:val="18"/>
              </w:rPr>
            </w:pPr>
            <w:r w:rsidRPr="007D3FB9">
              <w:rPr>
                <w:b/>
                <w:bCs/>
                <w:sz w:val="18"/>
                <w:szCs w:val="18"/>
              </w:rPr>
              <w:t>ACCOMMODATION/FACILITIES</w:t>
            </w:r>
          </w:p>
        </w:tc>
        <w:tc>
          <w:tcPr>
            <w:tcW w:w="1275" w:type="dxa"/>
            <w:tcBorders>
              <w:top w:val="single" w:sz="4" w:space="0" w:color="auto"/>
              <w:left w:val="nil"/>
              <w:bottom w:val="single" w:sz="4" w:space="0" w:color="auto"/>
              <w:right w:val="single" w:sz="4" w:space="0" w:color="auto"/>
            </w:tcBorders>
            <w:shd w:val="clear" w:color="000000" w:fill="D9D9D9"/>
            <w:noWrap/>
            <w:hideMark/>
          </w:tcPr>
          <w:p w:rsidR="002C7401" w:rsidRPr="007D3FB9" w:rsidRDefault="002C7401" w:rsidP="002C7401">
            <w:pPr>
              <w:spacing w:line="240" w:lineRule="auto"/>
              <w:rPr>
                <w:b/>
                <w:bCs/>
                <w:sz w:val="18"/>
                <w:szCs w:val="18"/>
              </w:rPr>
            </w:pPr>
            <w:r w:rsidRPr="007D3FB9">
              <w:rPr>
                <w:b/>
                <w:bCs/>
                <w:sz w:val="18"/>
                <w:szCs w:val="18"/>
              </w:rPr>
              <w:t>DURATION</w:t>
            </w:r>
          </w:p>
        </w:tc>
        <w:tc>
          <w:tcPr>
            <w:tcW w:w="1004" w:type="dxa"/>
            <w:tcBorders>
              <w:top w:val="single" w:sz="4" w:space="0" w:color="auto"/>
              <w:left w:val="nil"/>
              <w:bottom w:val="single" w:sz="4" w:space="0" w:color="auto"/>
              <w:right w:val="single" w:sz="4" w:space="0" w:color="auto"/>
            </w:tcBorders>
            <w:shd w:val="clear" w:color="000000" w:fill="D9D9D9"/>
            <w:noWrap/>
            <w:hideMark/>
          </w:tcPr>
          <w:p w:rsidR="002C7401" w:rsidRPr="007D3FB9" w:rsidRDefault="002C7401" w:rsidP="002C7401">
            <w:pPr>
              <w:spacing w:line="240" w:lineRule="auto"/>
              <w:rPr>
                <w:b/>
                <w:bCs/>
                <w:sz w:val="18"/>
                <w:szCs w:val="18"/>
              </w:rPr>
            </w:pPr>
            <w:r w:rsidRPr="007D3FB9">
              <w:rPr>
                <w:b/>
                <w:bCs/>
                <w:sz w:val="18"/>
                <w:szCs w:val="18"/>
              </w:rPr>
              <w:t>BAND A</w:t>
            </w:r>
          </w:p>
        </w:tc>
        <w:tc>
          <w:tcPr>
            <w:tcW w:w="994" w:type="dxa"/>
            <w:tcBorders>
              <w:top w:val="single" w:sz="4" w:space="0" w:color="auto"/>
              <w:left w:val="nil"/>
              <w:bottom w:val="single" w:sz="4" w:space="0" w:color="auto"/>
              <w:right w:val="single" w:sz="4" w:space="0" w:color="auto"/>
            </w:tcBorders>
            <w:shd w:val="clear" w:color="000000" w:fill="D9D9D9"/>
            <w:noWrap/>
            <w:hideMark/>
          </w:tcPr>
          <w:p w:rsidR="002C7401" w:rsidRPr="007D3FB9" w:rsidRDefault="002C7401" w:rsidP="002C7401">
            <w:pPr>
              <w:spacing w:line="240" w:lineRule="auto"/>
              <w:rPr>
                <w:b/>
                <w:bCs/>
                <w:sz w:val="18"/>
                <w:szCs w:val="18"/>
              </w:rPr>
            </w:pPr>
            <w:r w:rsidRPr="007D3FB9">
              <w:rPr>
                <w:b/>
                <w:bCs/>
                <w:sz w:val="18"/>
                <w:szCs w:val="18"/>
              </w:rPr>
              <w:t>BAND B</w:t>
            </w:r>
          </w:p>
        </w:tc>
        <w:tc>
          <w:tcPr>
            <w:tcW w:w="979" w:type="dxa"/>
            <w:gridSpan w:val="2"/>
            <w:tcBorders>
              <w:top w:val="single" w:sz="4" w:space="0" w:color="auto"/>
              <w:left w:val="nil"/>
              <w:bottom w:val="single" w:sz="4" w:space="0" w:color="auto"/>
              <w:right w:val="single" w:sz="4" w:space="0" w:color="auto"/>
            </w:tcBorders>
            <w:shd w:val="clear" w:color="000000" w:fill="D9D9D9"/>
            <w:noWrap/>
            <w:hideMark/>
          </w:tcPr>
          <w:p w:rsidR="002C7401" w:rsidRPr="007D3FB9" w:rsidRDefault="002C7401" w:rsidP="002C7401">
            <w:pPr>
              <w:spacing w:line="240" w:lineRule="auto"/>
              <w:rPr>
                <w:b/>
                <w:bCs/>
                <w:sz w:val="18"/>
                <w:szCs w:val="18"/>
              </w:rPr>
            </w:pPr>
            <w:r w:rsidRPr="007D3FB9">
              <w:rPr>
                <w:b/>
                <w:bCs/>
                <w:sz w:val="18"/>
                <w:szCs w:val="18"/>
              </w:rPr>
              <w:t>BAND C</w:t>
            </w:r>
          </w:p>
        </w:tc>
      </w:tr>
      <w:tr w:rsidR="002C7401" w:rsidRPr="00D26D68" w:rsidTr="002C7401">
        <w:trPr>
          <w:trHeight w:val="302"/>
        </w:trPr>
        <w:tc>
          <w:tcPr>
            <w:tcW w:w="5246" w:type="dxa"/>
            <w:tcBorders>
              <w:top w:val="nil"/>
              <w:left w:val="single" w:sz="4" w:space="0" w:color="auto"/>
              <w:bottom w:val="single" w:sz="4" w:space="0" w:color="auto"/>
              <w:right w:val="single" w:sz="4" w:space="0" w:color="auto"/>
            </w:tcBorders>
            <w:shd w:val="clear" w:color="auto" w:fill="auto"/>
            <w:hideMark/>
          </w:tcPr>
          <w:p w:rsidR="002C7401" w:rsidRPr="007D3FB9" w:rsidRDefault="002C7401" w:rsidP="002C7401">
            <w:pPr>
              <w:spacing w:line="240" w:lineRule="auto"/>
              <w:rPr>
                <w:color w:val="000000"/>
                <w:sz w:val="18"/>
                <w:szCs w:val="18"/>
              </w:rPr>
            </w:pPr>
            <w:r w:rsidRPr="007D3FB9">
              <w:rPr>
                <w:color w:val="000000"/>
                <w:sz w:val="18"/>
                <w:szCs w:val="18"/>
              </w:rPr>
              <w:t xml:space="preserve">Classroom/small meeting room/staff room or space of equivalent size </w:t>
            </w:r>
          </w:p>
        </w:tc>
        <w:tc>
          <w:tcPr>
            <w:tcW w:w="1275" w:type="dxa"/>
            <w:tcBorders>
              <w:top w:val="nil"/>
              <w:left w:val="nil"/>
              <w:bottom w:val="single" w:sz="4" w:space="0" w:color="auto"/>
              <w:right w:val="single" w:sz="4" w:space="0" w:color="auto"/>
            </w:tcBorders>
            <w:shd w:val="clear" w:color="auto" w:fill="auto"/>
            <w:noWrap/>
            <w:hideMark/>
          </w:tcPr>
          <w:p w:rsidR="002C7401" w:rsidRPr="007D3FB9" w:rsidRDefault="002C7401" w:rsidP="002C7401">
            <w:pPr>
              <w:spacing w:line="240" w:lineRule="auto"/>
              <w:rPr>
                <w:color w:val="000000"/>
                <w:sz w:val="18"/>
                <w:szCs w:val="18"/>
              </w:rPr>
            </w:pPr>
            <w:r w:rsidRPr="007D3FB9">
              <w:rPr>
                <w:color w:val="000000"/>
                <w:sz w:val="18"/>
                <w:szCs w:val="18"/>
              </w:rPr>
              <w:t>Up to 3 hrs</w:t>
            </w:r>
          </w:p>
        </w:tc>
        <w:tc>
          <w:tcPr>
            <w:tcW w:w="1004" w:type="dxa"/>
            <w:tcBorders>
              <w:top w:val="nil"/>
              <w:left w:val="nil"/>
              <w:bottom w:val="single" w:sz="4" w:space="0" w:color="auto"/>
              <w:right w:val="single" w:sz="4" w:space="0" w:color="auto"/>
            </w:tcBorders>
            <w:shd w:val="clear" w:color="auto" w:fill="auto"/>
            <w:noWrap/>
            <w:hideMark/>
          </w:tcPr>
          <w:p w:rsidR="002C7401" w:rsidRPr="00D26D68" w:rsidRDefault="002C7401" w:rsidP="002C7401">
            <w:pPr>
              <w:spacing w:line="240" w:lineRule="auto"/>
              <w:jc w:val="right"/>
              <w:rPr>
                <w:sz w:val="18"/>
                <w:szCs w:val="18"/>
              </w:rPr>
            </w:pPr>
            <w:r>
              <w:rPr>
                <w:sz w:val="18"/>
                <w:szCs w:val="18"/>
              </w:rPr>
              <w:t>£10.35</w:t>
            </w:r>
          </w:p>
        </w:tc>
        <w:tc>
          <w:tcPr>
            <w:tcW w:w="994" w:type="dxa"/>
            <w:tcBorders>
              <w:top w:val="nil"/>
              <w:left w:val="nil"/>
              <w:bottom w:val="single" w:sz="4" w:space="0" w:color="auto"/>
              <w:right w:val="single" w:sz="4" w:space="0" w:color="auto"/>
            </w:tcBorders>
            <w:shd w:val="clear" w:color="auto" w:fill="auto"/>
            <w:noWrap/>
            <w:hideMark/>
          </w:tcPr>
          <w:p w:rsidR="002C7401" w:rsidRPr="00D26D68" w:rsidRDefault="002C7401" w:rsidP="002C7401">
            <w:pPr>
              <w:spacing w:line="240" w:lineRule="auto"/>
              <w:jc w:val="right"/>
              <w:rPr>
                <w:sz w:val="18"/>
                <w:szCs w:val="18"/>
              </w:rPr>
            </w:pPr>
            <w:r w:rsidRPr="00D26D68">
              <w:rPr>
                <w:sz w:val="18"/>
                <w:szCs w:val="18"/>
              </w:rPr>
              <w:t>N</w:t>
            </w:r>
            <w:r>
              <w:rPr>
                <w:sz w:val="18"/>
                <w:szCs w:val="18"/>
              </w:rPr>
              <w:t>/</w:t>
            </w:r>
            <w:r w:rsidRPr="00D26D68">
              <w:rPr>
                <w:sz w:val="18"/>
                <w:szCs w:val="18"/>
              </w:rPr>
              <w:t>A</w:t>
            </w:r>
          </w:p>
        </w:tc>
        <w:tc>
          <w:tcPr>
            <w:tcW w:w="979" w:type="dxa"/>
            <w:gridSpan w:val="2"/>
            <w:tcBorders>
              <w:top w:val="nil"/>
              <w:left w:val="nil"/>
              <w:bottom w:val="single" w:sz="4" w:space="0" w:color="auto"/>
              <w:right w:val="single" w:sz="4" w:space="0" w:color="auto"/>
            </w:tcBorders>
            <w:shd w:val="clear" w:color="auto" w:fill="auto"/>
            <w:noWrap/>
            <w:hideMark/>
          </w:tcPr>
          <w:p w:rsidR="002C7401" w:rsidRPr="00D26D68" w:rsidRDefault="002C7401" w:rsidP="002C7401">
            <w:pPr>
              <w:spacing w:line="240" w:lineRule="auto"/>
              <w:jc w:val="right"/>
              <w:rPr>
                <w:sz w:val="18"/>
                <w:szCs w:val="18"/>
              </w:rPr>
            </w:pPr>
            <w:r w:rsidRPr="00D26D68">
              <w:rPr>
                <w:sz w:val="18"/>
                <w:szCs w:val="18"/>
              </w:rPr>
              <w:t>N</w:t>
            </w:r>
            <w:r>
              <w:rPr>
                <w:sz w:val="18"/>
                <w:szCs w:val="18"/>
              </w:rPr>
              <w:t>/</w:t>
            </w:r>
            <w:r w:rsidRPr="00D26D68">
              <w:rPr>
                <w:sz w:val="18"/>
                <w:szCs w:val="18"/>
              </w:rPr>
              <w:t>A</w:t>
            </w:r>
          </w:p>
        </w:tc>
      </w:tr>
      <w:tr w:rsidR="002C7401" w:rsidRPr="00D26D68" w:rsidTr="002C7401">
        <w:trPr>
          <w:trHeight w:val="302"/>
        </w:trPr>
        <w:tc>
          <w:tcPr>
            <w:tcW w:w="5246" w:type="dxa"/>
            <w:tcBorders>
              <w:top w:val="nil"/>
              <w:left w:val="single" w:sz="4" w:space="0" w:color="auto"/>
              <w:bottom w:val="single" w:sz="4" w:space="0" w:color="auto"/>
              <w:right w:val="single" w:sz="4" w:space="0" w:color="auto"/>
            </w:tcBorders>
            <w:shd w:val="clear" w:color="auto" w:fill="auto"/>
            <w:hideMark/>
          </w:tcPr>
          <w:p w:rsidR="002C7401" w:rsidRPr="007D3FB9" w:rsidRDefault="002C7401" w:rsidP="002C7401">
            <w:pPr>
              <w:spacing w:line="240" w:lineRule="auto"/>
              <w:rPr>
                <w:color w:val="000000"/>
                <w:sz w:val="18"/>
                <w:szCs w:val="18"/>
              </w:rPr>
            </w:pPr>
            <w:r w:rsidRPr="007D3FB9">
              <w:rPr>
                <w:color w:val="000000"/>
                <w:sz w:val="18"/>
                <w:szCs w:val="18"/>
              </w:rPr>
              <w:t xml:space="preserve">Classroom/small meeting room/staff room or space of equivalent size </w:t>
            </w:r>
          </w:p>
        </w:tc>
        <w:tc>
          <w:tcPr>
            <w:tcW w:w="1275" w:type="dxa"/>
            <w:tcBorders>
              <w:top w:val="nil"/>
              <w:left w:val="nil"/>
              <w:bottom w:val="single" w:sz="4" w:space="0" w:color="auto"/>
              <w:right w:val="single" w:sz="4" w:space="0" w:color="auto"/>
            </w:tcBorders>
            <w:shd w:val="clear" w:color="auto" w:fill="auto"/>
            <w:noWrap/>
            <w:hideMark/>
          </w:tcPr>
          <w:p w:rsidR="002C7401" w:rsidRPr="007D3FB9" w:rsidRDefault="002C7401" w:rsidP="002C7401">
            <w:pPr>
              <w:spacing w:line="240" w:lineRule="auto"/>
              <w:rPr>
                <w:color w:val="000000"/>
                <w:sz w:val="18"/>
                <w:szCs w:val="18"/>
              </w:rPr>
            </w:pPr>
            <w:r w:rsidRPr="007D3FB9">
              <w:rPr>
                <w:color w:val="000000"/>
                <w:sz w:val="18"/>
                <w:szCs w:val="18"/>
              </w:rPr>
              <w:t>Per hour</w:t>
            </w:r>
          </w:p>
        </w:tc>
        <w:tc>
          <w:tcPr>
            <w:tcW w:w="1004" w:type="dxa"/>
            <w:tcBorders>
              <w:top w:val="nil"/>
              <w:left w:val="nil"/>
              <w:bottom w:val="single" w:sz="4" w:space="0" w:color="auto"/>
              <w:right w:val="single" w:sz="4" w:space="0" w:color="auto"/>
            </w:tcBorders>
            <w:shd w:val="clear" w:color="auto" w:fill="auto"/>
            <w:noWrap/>
            <w:hideMark/>
          </w:tcPr>
          <w:p w:rsidR="002C7401" w:rsidRPr="00D26D68" w:rsidRDefault="002C7401" w:rsidP="002C7401">
            <w:pPr>
              <w:spacing w:line="240" w:lineRule="auto"/>
              <w:jc w:val="right"/>
              <w:rPr>
                <w:sz w:val="18"/>
                <w:szCs w:val="18"/>
              </w:rPr>
            </w:pPr>
            <w:r w:rsidRPr="00D26D68">
              <w:rPr>
                <w:sz w:val="18"/>
                <w:szCs w:val="18"/>
              </w:rPr>
              <w:t>N</w:t>
            </w:r>
            <w:r>
              <w:rPr>
                <w:sz w:val="18"/>
                <w:szCs w:val="18"/>
              </w:rPr>
              <w:t>/</w:t>
            </w:r>
            <w:r w:rsidRPr="00D26D68">
              <w:rPr>
                <w:sz w:val="18"/>
                <w:szCs w:val="18"/>
              </w:rPr>
              <w:t>A</w:t>
            </w:r>
          </w:p>
        </w:tc>
        <w:tc>
          <w:tcPr>
            <w:tcW w:w="99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£20.90</w:t>
            </w:r>
          </w:p>
        </w:tc>
        <w:tc>
          <w:tcPr>
            <w:tcW w:w="979" w:type="dxa"/>
            <w:gridSpan w:val="2"/>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£75.95</w:t>
            </w:r>
          </w:p>
        </w:tc>
      </w:tr>
      <w:tr w:rsidR="002C7401" w:rsidRPr="00D26D68" w:rsidTr="002C7401">
        <w:trPr>
          <w:trHeight w:val="302"/>
        </w:trPr>
        <w:tc>
          <w:tcPr>
            <w:tcW w:w="5246" w:type="dxa"/>
            <w:tcBorders>
              <w:top w:val="nil"/>
              <w:left w:val="single" w:sz="4" w:space="0" w:color="auto"/>
              <w:bottom w:val="single" w:sz="4" w:space="0" w:color="auto"/>
              <w:right w:val="single" w:sz="4" w:space="0" w:color="auto"/>
            </w:tcBorders>
            <w:shd w:val="clear" w:color="auto" w:fill="auto"/>
            <w:hideMark/>
          </w:tcPr>
          <w:p w:rsidR="002C7401" w:rsidRPr="007D3FB9" w:rsidRDefault="002C7401" w:rsidP="002C7401">
            <w:pPr>
              <w:spacing w:line="240" w:lineRule="auto"/>
              <w:rPr>
                <w:color w:val="000000"/>
                <w:sz w:val="18"/>
                <w:szCs w:val="18"/>
              </w:rPr>
            </w:pPr>
            <w:r w:rsidRPr="007D3FB9">
              <w:rPr>
                <w:color w:val="000000"/>
                <w:sz w:val="18"/>
                <w:szCs w:val="18"/>
              </w:rPr>
              <w:t>Badminton Court within large hall in Secondary School</w:t>
            </w:r>
          </w:p>
          <w:p w:rsidR="002C7401" w:rsidRPr="007D3FB9" w:rsidRDefault="002C7401" w:rsidP="002C7401">
            <w:pPr>
              <w:spacing w:line="240" w:lineRule="auto"/>
              <w:rPr>
                <w:color w:val="000000"/>
                <w:sz w:val="18"/>
                <w:szCs w:val="18"/>
              </w:rPr>
            </w:pPr>
            <w:r w:rsidRPr="007D3FB9">
              <w:rPr>
                <w:color w:val="000000"/>
                <w:sz w:val="18"/>
                <w:szCs w:val="18"/>
              </w:rPr>
              <w:t>(Net and stands) (max 4 people)</w:t>
            </w:r>
          </w:p>
        </w:tc>
        <w:tc>
          <w:tcPr>
            <w:tcW w:w="1275" w:type="dxa"/>
            <w:tcBorders>
              <w:top w:val="nil"/>
              <w:left w:val="nil"/>
              <w:bottom w:val="single" w:sz="4" w:space="0" w:color="auto"/>
              <w:right w:val="single" w:sz="4" w:space="0" w:color="auto"/>
            </w:tcBorders>
            <w:shd w:val="clear" w:color="auto" w:fill="auto"/>
            <w:noWrap/>
            <w:hideMark/>
          </w:tcPr>
          <w:p w:rsidR="002C7401" w:rsidRPr="007D3FB9" w:rsidRDefault="002C7401" w:rsidP="002C7401">
            <w:pPr>
              <w:spacing w:line="240" w:lineRule="auto"/>
              <w:rPr>
                <w:color w:val="000000"/>
                <w:sz w:val="18"/>
                <w:szCs w:val="18"/>
              </w:rPr>
            </w:pPr>
            <w:r w:rsidRPr="007D3FB9">
              <w:rPr>
                <w:color w:val="000000"/>
                <w:sz w:val="18"/>
                <w:szCs w:val="18"/>
              </w:rPr>
              <w:t>Per hour</w:t>
            </w:r>
          </w:p>
        </w:tc>
        <w:tc>
          <w:tcPr>
            <w:tcW w:w="100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£9.15</w:t>
            </w:r>
          </w:p>
        </w:tc>
        <w:tc>
          <w:tcPr>
            <w:tcW w:w="99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£20.90</w:t>
            </w:r>
          </w:p>
        </w:tc>
        <w:tc>
          <w:tcPr>
            <w:tcW w:w="979" w:type="dxa"/>
            <w:gridSpan w:val="2"/>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£35.50</w:t>
            </w:r>
          </w:p>
        </w:tc>
      </w:tr>
      <w:tr w:rsidR="002C7401" w:rsidRPr="00D26D68" w:rsidTr="002C7401">
        <w:trPr>
          <w:trHeight w:val="242"/>
        </w:trPr>
        <w:tc>
          <w:tcPr>
            <w:tcW w:w="5246" w:type="dxa"/>
            <w:tcBorders>
              <w:top w:val="nil"/>
              <w:left w:val="single" w:sz="4" w:space="0" w:color="auto"/>
              <w:bottom w:val="single" w:sz="4" w:space="0" w:color="auto"/>
              <w:right w:val="single" w:sz="4" w:space="0" w:color="auto"/>
            </w:tcBorders>
            <w:shd w:val="clear" w:color="auto" w:fill="auto"/>
            <w:hideMark/>
          </w:tcPr>
          <w:p w:rsidR="002C7401" w:rsidRPr="007D3FB9" w:rsidRDefault="002C7401" w:rsidP="002C7401">
            <w:pPr>
              <w:spacing w:line="240" w:lineRule="auto"/>
              <w:rPr>
                <w:color w:val="000000"/>
                <w:sz w:val="18"/>
                <w:szCs w:val="18"/>
              </w:rPr>
            </w:pPr>
            <w:r w:rsidRPr="007D3FB9">
              <w:rPr>
                <w:color w:val="000000"/>
                <w:sz w:val="18"/>
                <w:szCs w:val="18"/>
              </w:rPr>
              <w:t>Small Hall/dance studio/</w:t>
            </w:r>
            <w:r>
              <w:rPr>
                <w:color w:val="000000"/>
                <w:sz w:val="18"/>
                <w:szCs w:val="18"/>
              </w:rPr>
              <w:t>gym/</w:t>
            </w:r>
            <w:r w:rsidRPr="007D3FB9">
              <w:rPr>
                <w:color w:val="000000"/>
                <w:sz w:val="18"/>
                <w:szCs w:val="18"/>
              </w:rPr>
              <w:t>large meeting room/community room or space equivalent to 1-2 badminton court size</w:t>
            </w:r>
          </w:p>
        </w:tc>
        <w:tc>
          <w:tcPr>
            <w:tcW w:w="1275" w:type="dxa"/>
            <w:tcBorders>
              <w:top w:val="nil"/>
              <w:left w:val="nil"/>
              <w:bottom w:val="single" w:sz="4" w:space="0" w:color="auto"/>
              <w:right w:val="single" w:sz="4" w:space="0" w:color="auto"/>
            </w:tcBorders>
            <w:shd w:val="clear" w:color="auto" w:fill="auto"/>
            <w:noWrap/>
            <w:hideMark/>
          </w:tcPr>
          <w:p w:rsidR="002C7401" w:rsidRPr="007D3FB9" w:rsidRDefault="002C7401" w:rsidP="002C7401">
            <w:pPr>
              <w:spacing w:line="240" w:lineRule="auto"/>
              <w:rPr>
                <w:color w:val="000000"/>
                <w:sz w:val="18"/>
                <w:szCs w:val="18"/>
              </w:rPr>
            </w:pPr>
            <w:r w:rsidRPr="007D3FB9">
              <w:rPr>
                <w:color w:val="000000"/>
                <w:sz w:val="18"/>
                <w:szCs w:val="18"/>
              </w:rPr>
              <w:t>Per hour</w:t>
            </w:r>
          </w:p>
        </w:tc>
        <w:tc>
          <w:tcPr>
            <w:tcW w:w="100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£17.70</w:t>
            </w:r>
          </w:p>
        </w:tc>
        <w:tc>
          <w:tcPr>
            <w:tcW w:w="99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sidRPr="00D26D68">
              <w:rPr>
                <w:sz w:val="18"/>
                <w:szCs w:val="18"/>
              </w:rPr>
              <w:t>£2</w:t>
            </w:r>
            <w:r>
              <w:rPr>
                <w:sz w:val="18"/>
                <w:szCs w:val="18"/>
              </w:rPr>
              <w:t>6.40</w:t>
            </w:r>
          </w:p>
        </w:tc>
        <w:tc>
          <w:tcPr>
            <w:tcW w:w="979" w:type="dxa"/>
            <w:gridSpan w:val="2"/>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£91.50</w:t>
            </w:r>
          </w:p>
        </w:tc>
      </w:tr>
      <w:tr w:rsidR="002C7401" w:rsidRPr="00D26D68" w:rsidTr="002C7401">
        <w:trPr>
          <w:trHeight w:val="302"/>
        </w:trPr>
        <w:tc>
          <w:tcPr>
            <w:tcW w:w="5246" w:type="dxa"/>
            <w:tcBorders>
              <w:top w:val="nil"/>
              <w:left w:val="single" w:sz="4" w:space="0" w:color="auto"/>
              <w:bottom w:val="single" w:sz="4" w:space="0" w:color="auto"/>
              <w:right w:val="single" w:sz="4" w:space="0" w:color="auto"/>
            </w:tcBorders>
            <w:shd w:val="clear" w:color="auto" w:fill="auto"/>
            <w:hideMark/>
          </w:tcPr>
          <w:p w:rsidR="002C7401" w:rsidRPr="007D3FB9" w:rsidRDefault="002C7401" w:rsidP="002C7401">
            <w:pPr>
              <w:spacing w:line="240" w:lineRule="auto"/>
              <w:rPr>
                <w:color w:val="000000"/>
                <w:sz w:val="18"/>
                <w:szCs w:val="18"/>
              </w:rPr>
            </w:pPr>
            <w:r w:rsidRPr="007D3FB9">
              <w:rPr>
                <w:color w:val="000000"/>
                <w:sz w:val="18"/>
                <w:szCs w:val="18"/>
              </w:rPr>
              <w:t>Games Hall/social space or space equivalent to 3-4 badminton court size</w:t>
            </w:r>
          </w:p>
        </w:tc>
        <w:tc>
          <w:tcPr>
            <w:tcW w:w="1275" w:type="dxa"/>
            <w:tcBorders>
              <w:top w:val="nil"/>
              <w:left w:val="nil"/>
              <w:bottom w:val="single" w:sz="4" w:space="0" w:color="auto"/>
              <w:right w:val="single" w:sz="4" w:space="0" w:color="auto"/>
            </w:tcBorders>
            <w:shd w:val="clear" w:color="auto" w:fill="auto"/>
            <w:noWrap/>
            <w:hideMark/>
          </w:tcPr>
          <w:p w:rsidR="002C7401" w:rsidRPr="007D3FB9" w:rsidRDefault="002C7401" w:rsidP="002C7401">
            <w:pPr>
              <w:spacing w:line="240" w:lineRule="auto"/>
              <w:rPr>
                <w:color w:val="000000"/>
                <w:sz w:val="18"/>
                <w:szCs w:val="18"/>
              </w:rPr>
            </w:pPr>
            <w:r w:rsidRPr="007D3FB9">
              <w:rPr>
                <w:color w:val="000000"/>
                <w:sz w:val="18"/>
                <w:szCs w:val="18"/>
              </w:rPr>
              <w:t>Per hour</w:t>
            </w:r>
          </w:p>
        </w:tc>
        <w:tc>
          <w:tcPr>
            <w:tcW w:w="100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£39.20</w:t>
            </w:r>
          </w:p>
        </w:tc>
        <w:tc>
          <w:tcPr>
            <w:tcW w:w="99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£51.35</w:t>
            </w:r>
          </w:p>
        </w:tc>
        <w:tc>
          <w:tcPr>
            <w:tcW w:w="979" w:type="dxa"/>
            <w:gridSpan w:val="2"/>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£162.60</w:t>
            </w:r>
          </w:p>
        </w:tc>
      </w:tr>
      <w:tr w:rsidR="002C7401" w:rsidRPr="00D26D68" w:rsidTr="002C7401">
        <w:trPr>
          <w:trHeight w:val="302"/>
        </w:trPr>
        <w:tc>
          <w:tcPr>
            <w:tcW w:w="5246" w:type="dxa"/>
            <w:tcBorders>
              <w:top w:val="nil"/>
              <w:left w:val="single" w:sz="4" w:space="0" w:color="auto"/>
              <w:bottom w:val="single" w:sz="4" w:space="0" w:color="auto"/>
              <w:right w:val="single" w:sz="4" w:space="0" w:color="auto"/>
            </w:tcBorders>
            <w:shd w:val="clear" w:color="auto" w:fill="auto"/>
            <w:noWrap/>
            <w:hideMark/>
          </w:tcPr>
          <w:p w:rsidR="002C7401" w:rsidRPr="007D3FB9" w:rsidRDefault="002C7401" w:rsidP="002C7401">
            <w:pPr>
              <w:spacing w:line="240" w:lineRule="auto"/>
              <w:rPr>
                <w:color w:val="000000"/>
                <w:sz w:val="18"/>
                <w:szCs w:val="18"/>
              </w:rPr>
            </w:pPr>
            <w:r w:rsidRPr="007D3FB9">
              <w:rPr>
                <w:color w:val="000000"/>
                <w:sz w:val="18"/>
                <w:szCs w:val="18"/>
              </w:rPr>
              <w:t>Theatre</w:t>
            </w:r>
          </w:p>
        </w:tc>
        <w:tc>
          <w:tcPr>
            <w:tcW w:w="1275" w:type="dxa"/>
            <w:tcBorders>
              <w:top w:val="nil"/>
              <w:left w:val="nil"/>
              <w:bottom w:val="single" w:sz="4" w:space="0" w:color="auto"/>
              <w:right w:val="single" w:sz="4" w:space="0" w:color="auto"/>
            </w:tcBorders>
            <w:shd w:val="clear" w:color="auto" w:fill="auto"/>
            <w:noWrap/>
            <w:hideMark/>
          </w:tcPr>
          <w:p w:rsidR="002C7401" w:rsidRPr="007D3FB9" w:rsidRDefault="002C7401" w:rsidP="002C7401">
            <w:pPr>
              <w:spacing w:line="240" w:lineRule="auto"/>
              <w:rPr>
                <w:color w:val="000000"/>
                <w:sz w:val="18"/>
                <w:szCs w:val="18"/>
              </w:rPr>
            </w:pPr>
            <w:r w:rsidRPr="007D3FB9">
              <w:rPr>
                <w:color w:val="000000"/>
                <w:sz w:val="18"/>
                <w:szCs w:val="18"/>
              </w:rPr>
              <w:t>Per hour</w:t>
            </w:r>
          </w:p>
        </w:tc>
        <w:tc>
          <w:tcPr>
            <w:tcW w:w="100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£43.80</w:t>
            </w:r>
          </w:p>
        </w:tc>
        <w:tc>
          <w:tcPr>
            <w:tcW w:w="99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£55.70</w:t>
            </w:r>
          </w:p>
        </w:tc>
        <w:tc>
          <w:tcPr>
            <w:tcW w:w="979" w:type="dxa"/>
            <w:gridSpan w:val="2"/>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£192.35</w:t>
            </w:r>
          </w:p>
        </w:tc>
      </w:tr>
      <w:tr w:rsidR="002C7401" w:rsidRPr="00D26D68" w:rsidTr="002C7401">
        <w:trPr>
          <w:trHeight w:val="302"/>
        </w:trPr>
        <w:tc>
          <w:tcPr>
            <w:tcW w:w="5246" w:type="dxa"/>
            <w:tcBorders>
              <w:top w:val="nil"/>
              <w:left w:val="single" w:sz="4" w:space="0" w:color="auto"/>
              <w:bottom w:val="single" w:sz="4" w:space="0" w:color="auto"/>
              <w:right w:val="single" w:sz="4" w:space="0" w:color="auto"/>
            </w:tcBorders>
            <w:shd w:val="clear" w:color="auto" w:fill="auto"/>
            <w:noWrap/>
            <w:hideMark/>
          </w:tcPr>
          <w:p w:rsidR="002C7401" w:rsidRPr="007D3FB9" w:rsidRDefault="002C7401" w:rsidP="002C7401">
            <w:pPr>
              <w:spacing w:line="240" w:lineRule="auto"/>
              <w:rPr>
                <w:sz w:val="18"/>
                <w:szCs w:val="18"/>
              </w:rPr>
            </w:pPr>
            <w:r w:rsidRPr="007D3FB9">
              <w:rPr>
                <w:sz w:val="18"/>
                <w:szCs w:val="18"/>
              </w:rPr>
              <w:t xml:space="preserve">Grass Playing Field/Track </w:t>
            </w:r>
          </w:p>
        </w:tc>
        <w:tc>
          <w:tcPr>
            <w:tcW w:w="1275" w:type="dxa"/>
            <w:tcBorders>
              <w:top w:val="nil"/>
              <w:left w:val="nil"/>
              <w:bottom w:val="single" w:sz="4" w:space="0" w:color="auto"/>
              <w:right w:val="single" w:sz="4" w:space="0" w:color="auto"/>
            </w:tcBorders>
            <w:shd w:val="clear" w:color="auto" w:fill="auto"/>
            <w:noWrap/>
            <w:hideMark/>
          </w:tcPr>
          <w:p w:rsidR="002C7401" w:rsidRPr="007D3FB9" w:rsidRDefault="002C7401" w:rsidP="002C7401">
            <w:pPr>
              <w:spacing w:line="240" w:lineRule="auto"/>
              <w:rPr>
                <w:sz w:val="18"/>
                <w:szCs w:val="18"/>
              </w:rPr>
            </w:pPr>
            <w:r w:rsidRPr="007D3FB9">
              <w:rPr>
                <w:sz w:val="18"/>
                <w:szCs w:val="18"/>
              </w:rPr>
              <w:t>Per hour</w:t>
            </w:r>
          </w:p>
        </w:tc>
        <w:tc>
          <w:tcPr>
            <w:tcW w:w="100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£22.90</w:t>
            </w:r>
          </w:p>
        </w:tc>
        <w:tc>
          <w:tcPr>
            <w:tcW w:w="99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£29.55</w:t>
            </w:r>
          </w:p>
        </w:tc>
        <w:tc>
          <w:tcPr>
            <w:tcW w:w="979" w:type="dxa"/>
            <w:gridSpan w:val="2"/>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£78.55</w:t>
            </w:r>
          </w:p>
        </w:tc>
      </w:tr>
      <w:tr w:rsidR="002C7401" w:rsidRPr="00D26D68" w:rsidTr="002C7401">
        <w:trPr>
          <w:trHeight w:val="302"/>
        </w:trPr>
        <w:tc>
          <w:tcPr>
            <w:tcW w:w="5246" w:type="dxa"/>
            <w:tcBorders>
              <w:top w:val="nil"/>
              <w:left w:val="single" w:sz="4" w:space="0" w:color="auto"/>
              <w:bottom w:val="single" w:sz="4" w:space="0" w:color="auto"/>
              <w:right w:val="single" w:sz="4" w:space="0" w:color="auto"/>
            </w:tcBorders>
            <w:shd w:val="clear" w:color="auto" w:fill="auto"/>
            <w:noWrap/>
            <w:hideMark/>
          </w:tcPr>
          <w:p w:rsidR="002C7401" w:rsidRPr="007D3FB9" w:rsidRDefault="002C7401" w:rsidP="002C7401">
            <w:pPr>
              <w:spacing w:line="240" w:lineRule="auto"/>
              <w:rPr>
                <w:sz w:val="18"/>
                <w:szCs w:val="18"/>
              </w:rPr>
            </w:pPr>
            <w:r w:rsidRPr="007D3FB9">
              <w:rPr>
                <w:sz w:val="18"/>
                <w:szCs w:val="18"/>
              </w:rPr>
              <w:t>All Weather Pitch</w:t>
            </w:r>
          </w:p>
        </w:tc>
        <w:tc>
          <w:tcPr>
            <w:tcW w:w="1275" w:type="dxa"/>
            <w:tcBorders>
              <w:top w:val="nil"/>
              <w:left w:val="nil"/>
              <w:bottom w:val="single" w:sz="4" w:space="0" w:color="auto"/>
              <w:right w:val="single" w:sz="4" w:space="0" w:color="auto"/>
            </w:tcBorders>
            <w:shd w:val="clear" w:color="auto" w:fill="auto"/>
            <w:noWrap/>
            <w:hideMark/>
          </w:tcPr>
          <w:p w:rsidR="002C7401" w:rsidRPr="007D3FB9" w:rsidRDefault="002C7401" w:rsidP="002C7401">
            <w:pPr>
              <w:spacing w:line="240" w:lineRule="auto"/>
              <w:rPr>
                <w:sz w:val="18"/>
                <w:szCs w:val="18"/>
              </w:rPr>
            </w:pPr>
            <w:r w:rsidRPr="007D3FB9">
              <w:rPr>
                <w:sz w:val="18"/>
                <w:szCs w:val="18"/>
              </w:rPr>
              <w:t>Per hour</w:t>
            </w:r>
          </w:p>
        </w:tc>
        <w:tc>
          <w:tcPr>
            <w:tcW w:w="100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£29.30</w:t>
            </w:r>
          </w:p>
        </w:tc>
        <w:tc>
          <w:tcPr>
            <w:tcW w:w="99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£35.95</w:t>
            </w:r>
          </w:p>
        </w:tc>
        <w:tc>
          <w:tcPr>
            <w:tcW w:w="979" w:type="dxa"/>
            <w:gridSpan w:val="2"/>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£107.90</w:t>
            </w:r>
          </w:p>
        </w:tc>
      </w:tr>
      <w:tr w:rsidR="002C7401" w:rsidRPr="00D26D68" w:rsidTr="002C7401">
        <w:trPr>
          <w:trHeight w:val="342"/>
        </w:trPr>
        <w:tc>
          <w:tcPr>
            <w:tcW w:w="5246" w:type="dxa"/>
            <w:tcBorders>
              <w:top w:val="nil"/>
              <w:left w:val="single" w:sz="4" w:space="0" w:color="auto"/>
              <w:bottom w:val="single" w:sz="4" w:space="0" w:color="auto"/>
              <w:right w:val="single" w:sz="4" w:space="0" w:color="auto"/>
            </w:tcBorders>
            <w:shd w:val="clear" w:color="auto" w:fill="auto"/>
            <w:noWrap/>
          </w:tcPr>
          <w:p w:rsidR="002C7401" w:rsidRPr="007D3FB9" w:rsidRDefault="002C7401" w:rsidP="002C7401">
            <w:pPr>
              <w:spacing w:line="240" w:lineRule="auto"/>
              <w:rPr>
                <w:sz w:val="18"/>
                <w:szCs w:val="18"/>
              </w:rPr>
            </w:pPr>
            <w:r w:rsidRPr="007D3FB9">
              <w:rPr>
                <w:sz w:val="18"/>
                <w:szCs w:val="18"/>
              </w:rPr>
              <w:t xml:space="preserve">MUGA (Multi Use Games Area) </w:t>
            </w:r>
          </w:p>
        </w:tc>
        <w:tc>
          <w:tcPr>
            <w:tcW w:w="1275" w:type="dxa"/>
            <w:tcBorders>
              <w:top w:val="nil"/>
              <w:left w:val="nil"/>
              <w:bottom w:val="single" w:sz="4" w:space="0" w:color="auto"/>
              <w:right w:val="single" w:sz="4" w:space="0" w:color="auto"/>
            </w:tcBorders>
            <w:shd w:val="clear" w:color="auto" w:fill="auto"/>
            <w:noWrap/>
          </w:tcPr>
          <w:p w:rsidR="002C7401" w:rsidRPr="007D3FB9" w:rsidRDefault="002C7401" w:rsidP="002C7401">
            <w:pPr>
              <w:spacing w:line="240" w:lineRule="auto"/>
              <w:rPr>
                <w:sz w:val="18"/>
                <w:szCs w:val="18"/>
              </w:rPr>
            </w:pPr>
            <w:r w:rsidRPr="007D3FB9">
              <w:rPr>
                <w:sz w:val="18"/>
                <w:szCs w:val="18"/>
              </w:rPr>
              <w:t>Per hour</w:t>
            </w:r>
          </w:p>
        </w:tc>
        <w:tc>
          <w:tcPr>
            <w:tcW w:w="100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£16.55</w:t>
            </w:r>
          </w:p>
        </w:tc>
        <w:tc>
          <w:tcPr>
            <w:tcW w:w="99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£23.20</w:t>
            </w:r>
          </w:p>
        </w:tc>
        <w:tc>
          <w:tcPr>
            <w:tcW w:w="979" w:type="dxa"/>
            <w:gridSpan w:val="2"/>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£63.75</w:t>
            </w:r>
          </w:p>
        </w:tc>
      </w:tr>
      <w:tr w:rsidR="002C7401" w:rsidRPr="00D26D68" w:rsidTr="002C7401">
        <w:trPr>
          <w:trHeight w:val="302"/>
        </w:trPr>
        <w:tc>
          <w:tcPr>
            <w:tcW w:w="5246" w:type="dxa"/>
            <w:tcBorders>
              <w:top w:val="nil"/>
              <w:left w:val="single" w:sz="4" w:space="0" w:color="auto"/>
              <w:bottom w:val="single" w:sz="4" w:space="0" w:color="auto"/>
              <w:right w:val="single" w:sz="4" w:space="0" w:color="auto"/>
            </w:tcBorders>
            <w:shd w:val="clear" w:color="auto" w:fill="auto"/>
            <w:noWrap/>
            <w:hideMark/>
          </w:tcPr>
          <w:p w:rsidR="002C7401" w:rsidRPr="007D3FB9" w:rsidRDefault="002C7401" w:rsidP="002C7401">
            <w:pPr>
              <w:spacing w:line="240" w:lineRule="auto"/>
              <w:rPr>
                <w:sz w:val="18"/>
                <w:szCs w:val="18"/>
              </w:rPr>
            </w:pPr>
            <w:r w:rsidRPr="007D3FB9">
              <w:rPr>
                <w:sz w:val="18"/>
                <w:szCs w:val="18"/>
              </w:rPr>
              <w:t>Changing  (for outdoor sports facilities)</w:t>
            </w:r>
          </w:p>
        </w:tc>
        <w:tc>
          <w:tcPr>
            <w:tcW w:w="1275" w:type="dxa"/>
            <w:tcBorders>
              <w:top w:val="nil"/>
              <w:left w:val="nil"/>
              <w:bottom w:val="single" w:sz="4" w:space="0" w:color="auto"/>
              <w:right w:val="single" w:sz="4" w:space="0" w:color="auto"/>
            </w:tcBorders>
            <w:shd w:val="clear" w:color="auto" w:fill="auto"/>
            <w:noWrap/>
            <w:hideMark/>
          </w:tcPr>
          <w:p w:rsidR="002C7401" w:rsidRPr="007D3FB9" w:rsidRDefault="002C7401" w:rsidP="002C7401">
            <w:pPr>
              <w:spacing w:line="240" w:lineRule="auto"/>
              <w:rPr>
                <w:sz w:val="18"/>
                <w:szCs w:val="18"/>
              </w:rPr>
            </w:pPr>
            <w:r w:rsidRPr="007D3FB9">
              <w:rPr>
                <w:sz w:val="18"/>
                <w:szCs w:val="18"/>
              </w:rPr>
              <w:t>Per hour</w:t>
            </w:r>
          </w:p>
        </w:tc>
        <w:tc>
          <w:tcPr>
            <w:tcW w:w="100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£6.6</w:t>
            </w:r>
            <w:r w:rsidRPr="00D26D68">
              <w:rPr>
                <w:sz w:val="18"/>
                <w:szCs w:val="18"/>
              </w:rPr>
              <w:t>0</w:t>
            </w:r>
          </w:p>
        </w:tc>
        <w:tc>
          <w:tcPr>
            <w:tcW w:w="99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£6.6</w:t>
            </w:r>
            <w:r w:rsidRPr="00D26D68">
              <w:rPr>
                <w:sz w:val="18"/>
                <w:szCs w:val="18"/>
              </w:rPr>
              <w:t>0</w:t>
            </w:r>
          </w:p>
        </w:tc>
        <w:tc>
          <w:tcPr>
            <w:tcW w:w="979" w:type="dxa"/>
            <w:gridSpan w:val="2"/>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£6.6</w:t>
            </w:r>
            <w:r w:rsidRPr="00D26D68">
              <w:rPr>
                <w:sz w:val="18"/>
                <w:szCs w:val="18"/>
              </w:rPr>
              <w:t>0</w:t>
            </w:r>
          </w:p>
        </w:tc>
      </w:tr>
      <w:tr w:rsidR="002C7401" w:rsidRPr="00D26D68" w:rsidTr="002C7401">
        <w:trPr>
          <w:trHeight w:val="302"/>
        </w:trPr>
        <w:tc>
          <w:tcPr>
            <w:tcW w:w="5246" w:type="dxa"/>
            <w:tcBorders>
              <w:top w:val="nil"/>
              <w:left w:val="single" w:sz="4" w:space="0" w:color="auto"/>
              <w:bottom w:val="single" w:sz="4" w:space="0" w:color="auto"/>
              <w:right w:val="single" w:sz="4" w:space="0" w:color="auto"/>
            </w:tcBorders>
            <w:shd w:val="clear" w:color="auto" w:fill="auto"/>
            <w:noWrap/>
          </w:tcPr>
          <w:p w:rsidR="002C7401" w:rsidRPr="007D3FB9" w:rsidRDefault="002C7401" w:rsidP="002C7401">
            <w:pPr>
              <w:spacing w:line="240" w:lineRule="auto"/>
              <w:rPr>
                <w:sz w:val="18"/>
                <w:szCs w:val="18"/>
              </w:rPr>
            </w:pPr>
            <w:r w:rsidRPr="007D3FB9">
              <w:rPr>
                <w:sz w:val="18"/>
                <w:szCs w:val="18"/>
              </w:rPr>
              <w:t>Lighting  (for outdoor sports facilities)</w:t>
            </w:r>
          </w:p>
        </w:tc>
        <w:tc>
          <w:tcPr>
            <w:tcW w:w="1275" w:type="dxa"/>
            <w:tcBorders>
              <w:top w:val="nil"/>
              <w:left w:val="nil"/>
              <w:bottom w:val="single" w:sz="4" w:space="0" w:color="auto"/>
              <w:right w:val="single" w:sz="4" w:space="0" w:color="auto"/>
            </w:tcBorders>
            <w:shd w:val="clear" w:color="auto" w:fill="auto"/>
            <w:noWrap/>
          </w:tcPr>
          <w:p w:rsidR="002C7401" w:rsidRPr="007D3FB9" w:rsidRDefault="002C7401" w:rsidP="002C7401">
            <w:pPr>
              <w:spacing w:line="240" w:lineRule="auto"/>
              <w:rPr>
                <w:sz w:val="18"/>
                <w:szCs w:val="18"/>
              </w:rPr>
            </w:pPr>
            <w:r w:rsidRPr="007D3FB9">
              <w:rPr>
                <w:sz w:val="18"/>
                <w:szCs w:val="18"/>
              </w:rPr>
              <w:t>Per hour</w:t>
            </w:r>
          </w:p>
        </w:tc>
        <w:tc>
          <w:tcPr>
            <w:tcW w:w="100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£6.6</w:t>
            </w:r>
            <w:r w:rsidRPr="00D26D68">
              <w:rPr>
                <w:sz w:val="18"/>
                <w:szCs w:val="18"/>
              </w:rPr>
              <w:t>0</w:t>
            </w:r>
          </w:p>
        </w:tc>
        <w:tc>
          <w:tcPr>
            <w:tcW w:w="994" w:type="dxa"/>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£6.6</w:t>
            </w:r>
            <w:r w:rsidRPr="00D26D68">
              <w:rPr>
                <w:sz w:val="18"/>
                <w:szCs w:val="18"/>
              </w:rPr>
              <w:t>0</w:t>
            </w:r>
          </w:p>
        </w:tc>
        <w:tc>
          <w:tcPr>
            <w:tcW w:w="979" w:type="dxa"/>
            <w:gridSpan w:val="2"/>
            <w:tcBorders>
              <w:top w:val="nil"/>
              <w:left w:val="nil"/>
              <w:bottom w:val="single" w:sz="4" w:space="0" w:color="auto"/>
              <w:right w:val="single" w:sz="4" w:space="0" w:color="auto"/>
            </w:tcBorders>
            <w:shd w:val="clear" w:color="auto" w:fill="auto"/>
            <w:noWrap/>
          </w:tcPr>
          <w:p w:rsidR="002C7401" w:rsidRPr="00D26D68" w:rsidRDefault="002C7401" w:rsidP="002C7401">
            <w:pPr>
              <w:spacing w:line="240" w:lineRule="auto"/>
              <w:jc w:val="right"/>
              <w:rPr>
                <w:sz w:val="18"/>
                <w:szCs w:val="18"/>
              </w:rPr>
            </w:pPr>
            <w:r>
              <w:rPr>
                <w:sz w:val="18"/>
                <w:szCs w:val="18"/>
              </w:rPr>
              <w:t>£6.6</w:t>
            </w:r>
            <w:r w:rsidRPr="00D26D68">
              <w:rPr>
                <w:sz w:val="18"/>
                <w:szCs w:val="18"/>
              </w:rPr>
              <w:t>0</w:t>
            </w:r>
          </w:p>
        </w:tc>
      </w:tr>
      <w:tr w:rsidR="002C7401" w:rsidRPr="007D3FB9" w:rsidTr="002C7401">
        <w:trPr>
          <w:trHeight w:val="302"/>
        </w:trPr>
        <w:tc>
          <w:tcPr>
            <w:tcW w:w="9498" w:type="dxa"/>
            <w:gridSpan w:val="6"/>
            <w:tcBorders>
              <w:top w:val="nil"/>
              <w:left w:val="nil"/>
              <w:bottom w:val="nil"/>
              <w:right w:val="nil"/>
            </w:tcBorders>
            <w:shd w:val="clear" w:color="auto" w:fill="auto"/>
            <w:noWrap/>
            <w:vAlign w:val="bottom"/>
            <w:hideMark/>
          </w:tcPr>
          <w:p w:rsidR="002C7401" w:rsidRPr="007D3FB9" w:rsidRDefault="002C7401" w:rsidP="002C7401">
            <w:pPr>
              <w:spacing w:line="240" w:lineRule="auto"/>
              <w:rPr>
                <w:color w:val="000000"/>
                <w:sz w:val="18"/>
                <w:szCs w:val="18"/>
              </w:rPr>
            </w:pPr>
            <w:r w:rsidRPr="007D3FB9">
              <w:rPr>
                <w:b/>
                <w:color w:val="000000"/>
                <w:sz w:val="18"/>
                <w:szCs w:val="18"/>
              </w:rPr>
              <w:t>Notes</w:t>
            </w:r>
            <w:r w:rsidRPr="007D3FB9">
              <w:rPr>
                <w:color w:val="000000"/>
                <w:sz w:val="18"/>
                <w:szCs w:val="18"/>
              </w:rPr>
              <w:t xml:space="preserve">:  </w:t>
            </w:r>
            <w:r w:rsidRPr="007D3FB9">
              <w:rPr>
                <w:color w:val="000000"/>
                <w:sz w:val="18"/>
                <w:szCs w:val="18"/>
              </w:rPr>
              <w:tab/>
              <w:t>(a) The above facilities may not be available to hire in every school</w:t>
            </w:r>
          </w:p>
          <w:p w:rsidR="002C7401" w:rsidRPr="007D3FB9" w:rsidRDefault="002C7401" w:rsidP="002C7401">
            <w:pPr>
              <w:spacing w:line="240" w:lineRule="auto"/>
              <w:rPr>
                <w:color w:val="000000"/>
                <w:sz w:val="18"/>
                <w:szCs w:val="18"/>
              </w:rPr>
            </w:pPr>
            <w:r w:rsidRPr="007D3FB9">
              <w:rPr>
                <w:color w:val="000000"/>
                <w:sz w:val="18"/>
                <w:szCs w:val="18"/>
              </w:rPr>
              <w:tab/>
              <w:t>(b) Lets of a non-standard length are charged on a minimum of half hourly basis and rounded up</w:t>
            </w:r>
          </w:p>
          <w:p w:rsidR="002C7401" w:rsidRPr="007D3FB9" w:rsidRDefault="002C7401" w:rsidP="002C7401">
            <w:pPr>
              <w:spacing w:line="240" w:lineRule="auto"/>
              <w:rPr>
                <w:color w:val="000000"/>
                <w:sz w:val="18"/>
                <w:szCs w:val="18"/>
              </w:rPr>
            </w:pPr>
            <w:r w:rsidRPr="007D3FB9">
              <w:rPr>
                <w:color w:val="000000"/>
                <w:sz w:val="18"/>
                <w:szCs w:val="18"/>
              </w:rPr>
              <w:tab/>
              <w:t xml:space="preserve">      e.g. 1 hour and 15 minutes is charged 1½ hours.</w:t>
            </w:r>
          </w:p>
          <w:p w:rsidR="002C7401" w:rsidRPr="007D3FB9" w:rsidRDefault="002C7401" w:rsidP="002C7401">
            <w:pPr>
              <w:spacing w:line="240" w:lineRule="auto"/>
              <w:rPr>
                <w:color w:val="000000"/>
                <w:sz w:val="18"/>
                <w:szCs w:val="18"/>
              </w:rPr>
            </w:pPr>
            <w:r w:rsidRPr="007D3FB9">
              <w:rPr>
                <w:color w:val="000000"/>
                <w:sz w:val="18"/>
                <w:szCs w:val="18"/>
              </w:rPr>
              <w:t xml:space="preserve">               (c)  Charges change from 1</w:t>
            </w:r>
            <w:r w:rsidRPr="007D3FB9">
              <w:rPr>
                <w:color w:val="000000"/>
                <w:sz w:val="18"/>
                <w:szCs w:val="18"/>
                <w:vertAlign w:val="superscript"/>
              </w:rPr>
              <w:t>st</w:t>
            </w:r>
            <w:r w:rsidRPr="007D3FB9">
              <w:rPr>
                <w:color w:val="000000"/>
                <w:sz w:val="18"/>
                <w:szCs w:val="18"/>
              </w:rPr>
              <w:t xml:space="preserve"> April each year and lets after that date will be subject to the new charges</w:t>
            </w:r>
          </w:p>
          <w:p w:rsidR="002C7401" w:rsidRPr="007D3FB9" w:rsidRDefault="002C7401" w:rsidP="002C7401">
            <w:pPr>
              <w:spacing w:line="240" w:lineRule="auto"/>
              <w:rPr>
                <w:color w:val="000000"/>
                <w:sz w:val="18"/>
                <w:szCs w:val="18"/>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6434"/>
            </w:tblGrid>
            <w:tr w:rsidR="002C7401" w:rsidRPr="007D3FB9" w:rsidTr="002C7401">
              <w:tc>
                <w:tcPr>
                  <w:tcW w:w="2737" w:type="dxa"/>
                  <w:vMerge w:val="restart"/>
                  <w:shd w:val="clear" w:color="auto" w:fill="D9D9D9"/>
                </w:tcPr>
                <w:p w:rsidR="002C7401" w:rsidRDefault="002C7401" w:rsidP="002C7401">
                  <w:pPr>
                    <w:spacing w:line="240" w:lineRule="auto"/>
                    <w:rPr>
                      <w:b/>
                      <w:bCs/>
                      <w:color w:val="000000"/>
                    </w:rPr>
                  </w:pPr>
                </w:p>
                <w:p w:rsidR="002C7401" w:rsidRPr="007D3FB9" w:rsidRDefault="002C7401" w:rsidP="002C7401">
                  <w:pPr>
                    <w:spacing w:line="240" w:lineRule="auto"/>
                    <w:rPr>
                      <w:b/>
                      <w:bCs/>
                      <w:color w:val="000000"/>
                    </w:rPr>
                  </w:pPr>
                  <w:r w:rsidRPr="007D3FB9">
                    <w:rPr>
                      <w:b/>
                      <w:bCs/>
                      <w:color w:val="000000"/>
                    </w:rPr>
                    <w:t>CHARGING BANDS</w:t>
                  </w:r>
                </w:p>
              </w:tc>
              <w:tc>
                <w:tcPr>
                  <w:tcW w:w="6434" w:type="dxa"/>
                  <w:shd w:val="clear" w:color="auto" w:fill="auto"/>
                </w:tcPr>
                <w:p w:rsidR="002C7401" w:rsidRPr="007D3FB9" w:rsidRDefault="002C7401" w:rsidP="002C7401">
                  <w:pPr>
                    <w:spacing w:line="240" w:lineRule="auto"/>
                    <w:rPr>
                      <w:b/>
                      <w:color w:val="000000"/>
                      <w:sz w:val="18"/>
                      <w:szCs w:val="18"/>
                    </w:rPr>
                  </w:pPr>
                  <w:r w:rsidRPr="007D3FB9">
                    <w:rPr>
                      <w:b/>
                      <w:color w:val="000000"/>
                      <w:sz w:val="18"/>
                      <w:szCs w:val="18"/>
                    </w:rPr>
                    <w:t>Band C:  Commercial</w:t>
                  </w:r>
                </w:p>
                <w:p w:rsidR="002C7401" w:rsidRPr="007D3FB9" w:rsidRDefault="002C7401" w:rsidP="002C7401">
                  <w:pPr>
                    <w:spacing w:line="240" w:lineRule="auto"/>
                    <w:rPr>
                      <w:b/>
                      <w:color w:val="000000"/>
                      <w:sz w:val="18"/>
                      <w:szCs w:val="18"/>
                    </w:rPr>
                  </w:pPr>
                </w:p>
                <w:p w:rsidR="002C7401" w:rsidRDefault="002C7401" w:rsidP="002C7401">
                  <w:pPr>
                    <w:spacing w:line="240" w:lineRule="auto"/>
                    <w:rPr>
                      <w:color w:val="000000"/>
                      <w:sz w:val="18"/>
                      <w:szCs w:val="18"/>
                    </w:rPr>
                  </w:pPr>
                  <w:r w:rsidRPr="007D3FB9">
                    <w:rPr>
                      <w:color w:val="000000"/>
                      <w:sz w:val="18"/>
                      <w:szCs w:val="18"/>
                    </w:rPr>
                    <w:t>Commercial organisations for profit making activities including instruction, dance, events, sales and spectator events</w:t>
                  </w:r>
                </w:p>
                <w:p w:rsidR="002C7401" w:rsidRPr="007D3FB9" w:rsidRDefault="002C7401" w:rsidP="002C7401">
                  <w:pPr>
                    <w:spacing w:line="240" w:lineRule="auto"/>
                    <w:rPr>
                      <w:b/>
                      <w:color w:val="000000"/>
                      <w:sz w:val="18"/>
                      <w:szCs w:val="18"/>
                    </w:rPr>
                  </w:pPr>
                </w:p>
              </w:tc>
            </w:tr>
            <w:tr w:rsidR="002C7401" w:rsidRPr="007D3FB9" w:rsidTr="002C7401">
              <w:tc>
                <w:tcPr>
                  <w:tcW w:w="2737" w:type="dxa"/>
                  <w:vMerge/>
                  <w:shd w:val="clear" w:color="auto" w:fill="D9D9D9"/>
                </w:tcPr>
                <w:p w:rsidR="002C7401" w:rsidRPr="007D3FB9" w:rsidRDefault="002C7401" w:rsidP="002C7401">
                  <w:pPr>
                    <w:spacing w:line="240" w:lineRule="auto"/>
                    <w:rPr>
                      <w:b/>
                      <w:bCs/>
                      <w:color w:val="000000"/>
                    </w:rPr>
                  </w:pPr>
                </w:p>
              </w:tc>
              <w:tc>
                <w:tcPr>
                  <w:tcW w:w="6434" w:type="dxa"/>
                  <w:shd w:val="clear" w:color="auto" w:fill="auto"/>
                </w:tcPr>
                <w:p w:rsidR="002C7401" w:rsidRPr="007D3FB9" w:rsidRDefault="002C7401" w:rsidP="002C7401">
                  <w:pPr>
                    <w:spacing w:line="240" w:lineRule="auto"/>
                    <w:rPr>
                      <w:b/>
                      <w:color w:val="000000"/>
                      <w:sz w:val="18"/>
                      <w:szCs w:val="18"/>
                    </w:rPr>
                  </w:pPr>
                  <w:r w:rsidRPr="007D3FB9">
                    <w:rPr>
                      <w:b/>
                      <w:color w:val="000000"/>
                      <w:sz w:val="18"/>
                      <w:szCs w:val="18"/>
                    </w:rPr>
                    <w:t>Band B:  Semi-Commercial</w:t>
                  </w:r>
                </w:p>
                <w:p w:rsidR="002C7401" w:rsidRPr="007D3FB9" w:rsidRDefault="002C7401" w:rsidP="002C7401">
                  <w:pPr>
                    <w:spacing w:line="240" w:lineRule="auto"/>
                    <w:rPr>
                      <w:b/>
                      <w:color w:val="000000"/>
                      <w:sz w:val="18"/>
                      <w:szCs w:val="18"/>
                    </w:rPr>
                  </w:pPr>
                </w:p>
                <w:p w:rsidR="002C7401" w:rsidRDefault="002C7401" w:rsidP="002C7401">
                  <w:pPr>
                    <w:spacing w:line="240" w:lineRule="auto"/>
                    <w:rPr>
                      <w:color w:val="000000"/>
                      <w:sz w:val="18"/>
                      <w:szCs w:val="18"/>
                    </w:rPr>
                  </w:pPr>
                  <w:r w:rsidRPr="007D3FB9">
                    <w:rPr>
                      <w:color w:val="000000"/>
                      <w:sz w:val="18"/>
                      <w:szCs w:val="18"/>
                    </w:rPr>
                    <w:t xml:space="preserve">Instructed activities of educational or sporting content </w:t>
                  </w:r>
                  <w:r w:rsidRPr="00D83DA6">
                    <w:rPr>
                      <w:color w:val="000000"/>
                      <w:sz w:val="18"/>
                      <w:szCs w:val="18"/>
                      <w:u w:val="single"/>
                    </w:rPr>
                    <w:t>where the instructor retains the income</w:t>
                  </w:r>
                  <w:r w:rsidRPr="007D3FB9">
                    <w:rPr>
                      <w:color w:val="000000"/>
                      <w:sz w:val="18"/>
                      <w:szCs w:val="18"/>
                    </w:rPr>
                    <w:t xml:space="preserve">, elections, unlicensed ceilidhs and dances </w:t>
                  </w:r>
                  <w:r w:rsidRPr="00D83DA6">
                    <w:rPr>
                      <w:color w:val="000000"/>
                      <w:sz w:val="18"/>
                      <w:szCs w:val="18"/>
                      <w:u w:val="single"/>
                    </w:rPr>
                    <w:t>where an individual retains the income</w:t>
                  </w:r>
                  <w:r w:rsidRPr="007D3FB9">
                    <w:rPr>
                      <w:color w:val="000000"/>
                      <w:sz w:val="18"/>
                      <w:szCs w:val="18"/>
                    </w:rPr>
                    <w:t>, weddings</w:t>
                  </w:r>
                </w:p>
                <w:p w:rsidR="002C7401" w:rsidRPr="007D3FB9" w:rsidRDefault="002C7401" w:rsidP="002C7401">
                  <w:pPr>
                    <w:spacing w:line="240" w:lineRule="auto"/>
                    <w:rPr>
                      <w:b/>
                      <w:color w:val="000000"/>
                      <w:sz w:val="18"/>
                      <w:szCs w:val="18"/>
                    </w:rPr>
                  </w:pPr>
                </w:p>
              </w:tc>
            </w:tr>
            <w:tr w:rsidR="002C7401" w:rsidRPr="007D3FB9" w:rsidTr="002C7401">
              <w:tc>
                <w:tcPr>
                  <w:tcW w:w="2737" w:type="dxa"/>
                  <w:vMerge/>
                  <w:shd w:val="clear" w:color="auto" w:fill="D9D9D9"/>
                </w:tcPr>
                <w:p w:rsidR="002C7401" w:rsidRPr="007D3FB9" w:rsidRDefault="002C7401" w:rsidP="002C7401">
                  <w:pPr>
                    <w:spacing w:line="240" w:lineRule="auto"/>
                    <w:rPr>
                      <w:color w:val="000000"/>
                    </w:rPr>
                  </w:pPr>
                </w:p>
              </w:tc>
              <w:tc>
                <w:tcPr>
                  <w:tcW w:w="6434" w:type="dxa"/>
                  <w:shd w:val="clear" w:color="auto" w:fill="auto"/>
                </w:tcPr>
                <w:p w:rsidR="002C7401" w:rsidRPr="007D3FB9" w:rsidRDefault="002C7401" w:rsidP="002C7401">
                  <w:pPr>
                    <w:spacing w:line="240" w:lineRule="auto"/>
                    <w:rPr>
                      <w:b/>
                      <w:color w:val="000000"/>
                      <w:sz w:val="18"/>
                      <w:szCs w:val="18"/>
                    </w:rPr>
                  </w:pPr>
                  <w:r w:rsidRPr="007D3FB9">
                    <w:rPr>
                      <w:b/>
                      <w:color w:val="000000"/>
                      <w:sz w:val="18"/>
                      <w:szCs w:val="18"/>
                    </w:rPr>
                    <w:t>Band A: Community</w:t>
                  </w:r>
                </w:p>
                <w:p w:rsidR="002C7401" w:rsidRPr="007D3FB9" w:rsidRDefault="002C7401" w:rsidP="002C7401">
                  <w:pPr>
                    <w:spacing w:line="240" w:lineRule="auto"/>
                    <w:rPr>
                      <w:b/>
                      <w:color w:val="000000"/>
                      <w:sz w:val="18"/>
                      <w:szCs w:val="18"/>
                    </w:rPr>
                  </w:pPr>
                </w:p>
                <w:p w:rsidR="002C7401" w:rsidRPr="007D3FB9" w:rsidRDefault="002C7401" w:rsidP="002C7401">
                  <w:pPr>
                    <w:spacing w:line="240" w:lineRule="auto"/>
                    <w:rPr>
                      <w:b/>
                      <w:color w:val="000000"/>
                      <w:sz w:val="18"/>
                      <w:szCs w:val="18"/>
                    </w:rPr>
                  </w:pPr>
                  <w:r w:rsidRPr="007D3FB9">
                    <w:rPr>
                      <w:color w:val="000000"/>
                      <w:sz w:val="18"/>
                      <w:szCs w:val="18"/>
                    </w:rPr>
                    <w:t>Sporting, social, political and religious activities, not for profit instruction, musical competitions, Blood Transfusion Service</w:t>
                  </w:r>
                </w:p>
              </w:tc>
            </w:tr>
            <w:tr w:rsidR="002C7401" w:rsidRPr="007D3FB9" w:rsidTr="002C7401">
              <w:tc>
                <w:tcPr>
                  <w:tcW w:w="2737" w:type="dxa"/>
                  <w:shd w:val="clear" w:color="auto" w:fill="D9D9D9"/>
                </w:tcPr>
                <w:p w:rsidR="002C7401" w:rsidRPr="007D3FB9" w:rsidRDefault="002C7401" w:rsidP="002C7401">
                  <w:pPr>
                    <w:spacing w:line="240" w:lineRule="auto"/>
                    <w:rPr>
                      <w:b/>
                      <w:color w:val="000000"/>
                    </w:rPr>
                  </w:pPr>
                  <w:r w:rsidRPr="007D3FB9">
                    <w:rPr>
                      <w:b/>
                      <w:color w:val="000000"/>
                    </w:rPr>
                    <w:t>DISCOUNTS</w:t>
                  </w:r>
                </w:p>
              </w:tc>
              <w:tc>
                <w:tcPr>
                  <w:tcW w:w="6434" w:type="dxa"/>
                  <w:shd w:val="clear" w:color="auto" w:fill="auto"/>
                </w:tcPr>
                <w:p w:rsidR="002C7401" w:rsidRPr="007D3FB9" w:rsidRDefault="002C7401" w:rsidP="002C7401">
                  <w:pPr>
                    <w:spacing w:line="240" w:lineRule="auto"/>
                    <w:rPr>
                      <w:color w:val="000000"/>
                      <w:sz w:val="18"/>
                      <w:szCs w:val="18"/>
                    </w:rPr>
                  </w:pPr>
                  <w:r w:rsidRPr="007D3FB9">
                    <w:rPr>
                      <w:color w:val="000000"/>
                      <w:sz w:val="18"/>
                      <w:szCs w:val="18"/>
                    </w:rPr>
                    <w:t>50% reduction where 100% of participants are under 18, full time students or over 60.  Discounts only apply to Bands A and B</w:t>
                  </w:r>
                </w:p>
              </w:tc>
            </w:tr>
            <w:tr w:rsidR="002C7401" w:rsidRPr="007D3FB9" w:rsidTr="002C7401">
              <w:tc>
                <w:tcPr>
                  <w:tcW w:w="2737" w:type="dxa"/>
                  <w:shd w:val="clear" w:color="auto" w:fill="D9D9D9"/>
                </w:tcPr>
                <w:p w:rsidR="002C7401" w:rsidRPr="007D3FB9" w:rsidRDefault="002C7401" w:rsidP="002C7401">
                  <w:pPr>
                    <w:spacing w:line="240" w:lineRule="auto"/>
                    <w:rPr>
                      <w:b/>
                      <w:color w:val="000000"/>
                    </w:rPr>
                  </w:pPr>
                  <w:r w:rsidRPr="007D3FB9">
                    <w:rPr>
                      <w:b/>
                      <w:color w:val="000000"/>
                    </w:rPr>
                    <w:t>SURCHARGES</w:t>
                  </w:r>
                </w:p>
              </w:tc>
              <w:tc>
                <w:tcPr>
                  <w:tcW w:w="6434" w:type="dxa"/>
                  <w:shd w:val="clear" w:color="auto" w:fill="auto"/>
                </w:tcPr>
                <w:p w:rsidR="002C7401" w:rsidRPr="007D3FB9" w:rsidRDefault="002C7401" w:rsidP="002C7401">
                  <w:pPr>
                    <w:spacing w:line="240" w:lineRule="auto"/>
                    <w:rPr>
                      <w:color w:val="000000"/>
                      <w:sz w:val="18"/>
                      <w:szCs w:val="18"/>
                    </w:rPr>
                  </w:pPr>
                  <w:r w:rsidRPr="007D3FB9">
                    <w:rPr>
                      <w:color w:val="000000"/>
                      <w:sz w:val="18"/>
                      <w:szCs w:val="18"/>
                    </w:rPr>
                    <w:t xml:space="preserve">An additional </w:t>
                  </w:r>
                  <w:r w:rsidRPr="007D3FB9">
                    <w:rPr>
                      <w:b/>
                      <w:color w:val="000000"/>
                      <w:sz w:val="18"/>
                      <w:szCs w:val="18"/>
                    </w:rPr>
                    <w:t>25%</w:t>
                  </w:r>
                  <w:r w:rsidRPr="007D3FB9">
                    <w:rPr>
                      <w:color w:val="000000"/>
                      <w:sz w:val="18"/>
                      <w:szCs w:val="18"/>
                    </w:rPr>
                    <w:t xml:space="preserve"> per Let booking will be applied for additional staffing outside standard opening hours – after 10pm, weekends and school holidays.</w:t>
                  </w:r>
                </w:p>
              </w:tc>
            </w:tr>
            <w:tr w:rsidR="002C7401" w:rsidRPr="007D3FB9" w:rsidTr="002C7401">
              <w:tc>
                <w:tcPr>
                  <w:tcW w:w="2737" w:type="dxa"/>
                  <w:shd w:val="clear" w:color="auto" w:fill="D9D9D9"/>
                </w:tcPr>
                <w:p w:rsidR="002C7401" w:rsidRPr="007D3FB9" w:rsidRDefault="002C7401" w:rsidP="002C7401">
                  <w:pPr>
                    <w:spacing w:line="240" w:lineRule="auto"/>
                    <w:rPr>
                      <w:b/>
                      <w:color w:val="000000"/>
                    </w:rPr>
                  </w:pPr>
                  <w:r w:rsidRPr="007D3FB9">
                    <w:rPr>
                      <w:b/>
                      <w:color w:val="000000"/>
                    </w:rPr>
                    <w:t>VAT ON SPORTING AND RECREATIONAL LETS</w:t>
                  </w:r>
                </w:p>
              </w:tc>
              <w:tc>
                <w:tcPr>
                  <w:tcW w:w="6434" w:type="dxa"/>
                  <w:shd w:val="clear" w:color="auto" w:fill="auto"/>
                </w:tcPr>
                <w:p w:rsidR="002C7401" w:rsidRDefault="002C7401" w:rsidP="002C7401">
                  <w:pPr>
                    <w:spacing w:line="240" w:lineRule="auto"/>
                    <w:rPr>
                      <w:color w:val="1F497D"/>
                      <w:sz w:val="18"/>
                      <w:szCs w:val="18"/>
                    </w:rPr>
                  </w:pPr>
                  <w:r w:rsidRPr="007D3FB9">
                    <w:rPr>
                      <w:b/>
                      <w:sz w:val="18"/>
                      <w:szCs w:val="18"/>
                    </w:rPr>
                    <w:t>VAT</w:t>
                  </w:r>
                  <w:r w:rsidRPr="007D3FB9">
                    <w:rPr>
                      <w:sz w:val="18"/>
                      <w:szCs w:val="18"/>
                    </w:rPr>
                    <w:t xml:space="preserve"> is chargeable at the current rate on sporting Lets as per the conditions set out in section 5 of HMRC Notice 742 Land and Property,</w:t>
                  </w:r>
                  <w:r w:rsidRPr="007D3FB9">
                    <w:rPr>
                      <w:rFonts w:ascii="Comic Sans MS" w:hAnsi="Comic Sans MS"/>
                    </w:rPr>
                    <w:t xml:space="preserve"> </w:t>
                  </w:r>
                  <w:r w:rsidRPr="007D3FB9">
                    <w:rPr>
                      <w:rFonts w:ascii="Comic Sans MS" w:hAnsi="Comic Sans MS"/>
                      <w:color w:val="1F497D"/>
                    </w:rPr>
                    <w:t>s</w:t>
                  </w:r>
                  <w:hyperlink r:id="rId15" w:anchor="P210_24269" w:history="1">
                    <w:r w:rsidRPr="007D3FB9">
                      <w:rPr>
                        <w:rStyle w:val="Hyperlink"/>
                        <w:sz w:val="18"/>
                        <w:szCs w:val="18"/>
                      </w:rPr>
                      <w:t>http://customs.hmrc.gov.uk/channelsPortalWebApp/channelsPortalWebApp.portal?_nfpb=true&amp;_pageLabel=pageAboutUs_ShowContent&amp;id=HMCE_CL_000154&amp;propertyType=document#P210_24269</w:t>
                    </w:r>
                  </w:hyperlink>
                  <w:r w:rsidRPr="007D3FB9">
                    <w:rPr>
                      <w:color w:val="1F497D"/>
                      <w:sz w:val="18"/>
                      <w:szCs w:val="18"/>
                    </w:rPr>
                    <w:t xml:space="preserve">  for more information.</w:t>
                  </w:r>
                </w:p>
                <w:p w:rsidR="002C7401" w:rsidRPr="007D3FB9" w:rsidRDefault="002C7401" w:rsidP="002C7401">
                  <w:pPr>
                    <w:spacing w:line="240" w:lineRule="auto"/>
                    <w:rPr>
                      <w:color w:val="000000"/>
                      <w:sz w:val="18"/>
                      <w:szCs w:val="18"/>
                    </w:rPr>
                  </w:pPr>
                </w:p>
              </w:tc>
            </w:tr>
          </w:tbl>
          <w:p w:rsidR="002C7401" w:rsidRPr="007D3FB9" w:rsidRDefault="002C7401" w:rsidP="002C7401">
            <w:pPr>
              <w:spacing w:line="240" w:lineRule="auto"/>
              <w:rPr>
                <w:color w:val="000000"/>
                <w:sz w:val="18"/>
                <w:szCs w:val="18"/>
              </w:rPr>
            </w:pPr>
          </w:p>
        </w:tc>
      </w:tr>
    </w:tbl>
    <w:p w:rsidR="002C7401" w:rsidRDefault="002C7401" w:rsidP="002C7401"/>
    <w:p w:rsidR="002C7401" w:rsidRDefault="002C7401" w:rsidP="002C7401"/>
    <w:p w:rsidR="002C7401" w:rsidRDefault="002C7401" w:rsidP="002C7401"/>
    <w:p w:rsidR="002C7401" w:rsidRDefault="002C7401" w:rsidP="002C7401"/>
    <w:p w:rsidR="002C7401" w:rsidRDefault="002C7401" w:rsidP="002C7401">
      <w:pPr>
        <w:rPr>
          <w:b/>
        </w:rPr>
      </w:pPr>
      <w:r>
        <w:br w:type="page"/>
      </w:r>
    </w:p>
    <w:p w:rsidR="00400B1A" w:rsidRDefault="002C7401" w:rsidP="00D84B81">
      <w:pPr>
        <w:rPr>
          <w:b/>
        </w:rPr>
      </w:pPr>
      <w:r>
        <w:rPr>
          <w:b/>
        </w:rPr>
        <w:t xml:space="preserve">Appendix 2 </w:t>
      </w:r>
      <w:r w:rsidR="00D84B81">
        <w:rPr>
          <w:b/>
        </w:rPr>
        <w:t>Locations of PPP Schools and Schools where HLH Manage Lets</w:t>
      </w:r>
    </w:p>
    <w:p w:rsidR="00D84B81" w:rsidRDefault="00D84B81" w:rsidP="00D84B81"/>
    <w:p w:rsidR="005F59F8" w:rsidRDefault="00400B1A" w:rsidP="00400B1A">
      <w:pPr>
        <w:spacing w:after="200"/>
      </w:pPr>
      <w:r>
        <w:rPr>
          <w:noProof/>
          <w:lang w:eastAsia="en-GB"/>
        </w:rPr>
        <w:drawing>
          <wp:inline distT="0" distB="0" distL="0" distR="0" wp14:anchorId="199C97C1" wp14:editId="27768707">
            <wp:extent cx="5610225" cy="7477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10225" cy="7477125"/>
                    </a:xfrm>
                    <a:prstGeom prst="rect">
                      <a:avLst/>
                    </a:prstGeom>
                  </pic:spPr>
                </pic:pic>
              </a:graphicData>
            </a:graphic>
          </wp:inline>
        </w:drawing>
      </w:r>
    </w:p>
    <w:p w:rsidR="005F59F8" w:rsidRDefault="005F59F8"/>
    <w:p w:rsidR="005F59F8" w:rsidRDefault="005F59F8"/>
    <w:p w:rsidR="005F59F8" w:rsidRDefault="005F59F8"/>
    <w:p w:rsidR="006A4AE3" w:rsidRDefault="006A4AE3"/>
    <w:sectPr w:rsidR="006A4AE3">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FF" w:rsidRDefault="00764FFF" w:rsidP="002F135F">
      <w:pPr>
        <w:spacing w:line="240" w:lineRule="auto"/>
      </w:pPr>
      <w:r>
        <w:separator/>
      </w:r>
    </w:p>
  </w:endnote>
  <w:endnote w:type="continuationSeparator" w:id="0">
    <w:p w:rsidR="00764FFF" w:rsidRDefault="00764FFF" w:rsidP="002F1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7054745"/>
      <w:docPartObj>
        <w:docPartGallery w:val="Page Numbers (Bottom of Page)"/>
        <w:docPartUnique/>
      </w:docPartObj>
    </w:sdtPr>
    <w:sdtEndPr/>
    <w:sdtContent>
      <w:sdt>
        <w:sdtPr>
          <w:id w:val="860082579"/>
          <w:docPartObj>
            <w:docPartGallery w:val="Page Numbers (Top of Page)"/>
            <w:docPartUnique/>
          </w:docPartObj>
        </w:sdtPr>
        <w:sdtEndPr/>
        <w:sdtContent>
          <w:p w:rsidR="0073772C" w:rsidRPr="002F135F" w:rsidRDefault="0073772C" w:rsidP="002F135F">
            <w:pPr>
              <w:pStyle w:val="Footer"/>
              <w:pBdr>
                <w:top w:val="single" w:sz="8" w:space="1" w:color="auto"/>
              </w:pBdr>
              <w:jc w:val="right"/>
            </w:pPr>
            <w:r w:rsidRPr="002F135F">
              <w:t xml:space="preserve">Page </w:t>
            </w:r>
            <w:r w:rsidRPr="002F135F">
              <w:rPr>
                <w:bCs/>
              </w:rPr>
              <w:fldChar w:fldCharType="begin"/>
            </w:r>
            <w:r w:rsidRPr="002F135F">
              <w:rPr>
                <w:bCs/>
              </w:rPr>
              <w:instrText xml:space="preserve"> PAGE </w:instrText>
            </w:r>
            <w:r w:rsidRPr="002F135F">
              <w:rPr>
                <w:bCs/>
              </w:rPr>
              <w:fldChar w:fldCharType="separate"/>
            </w:r>
            <w:r w:rsidR="00307BB0">
              <w:rPr>
                <w:bCs/>
                <w:noProof/>
              </w:rPr>
              <w:t>1</w:t>
            </w:r>
            <w:r w:rsidRPr="002F135F">
              <w:rPr>
                <w:bCs/>
              </w:rPr>
              <w:fldChar w:fldCharType="end"/>
            </w:r>
            <w:r w:rsidRPr="002F135F">
              <w:t xml:space="preserve"> of </w:t>
            </w:r>
            <w:r w:rsidRPr="002F135F">
              <w:rPr>
                <w:bCs/>
              </w:rPr>
              <w:fldChar w:fldCharType="begin"/>
            </w:r>
            <w:r w:rsidRPr="002F135F">
              <w:rPr>
                <w:bCs/>
              </w:rPr>
              <w:instrText xml:space="preserve"> NUMPAGES  </w:instrText>
            </w:r>
            <w:r w:rsidRPr="002F135F">
              <w:rPr>
                <w:bCs/>
              </w:rPr>
              <w:fldChar w:fldCharType="separate"/>
            </w:r>
            <w:r w:rsidR="00307BB0">
              <w:rPr>
                <w:bCs/>
                <w:noProof/>
              </w:rPr>
              <w:t>15</w:t>
            </w:r>
            <w:r w:rsidRPr="002F135F">
              <w:rPr>
                <w:bCs/>
              </w:rPr>
              <w:fldChar w:fldCharType="end"/>
            </w:r>
          </w:p>
        </w:sdtContent>
      </w:sdt>
    </w:sdtContent>
  </w:sdt>
  <w:p w:rsidR="0073772C" w:rsidRDefault="007377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FF" w:rsidRDefault="00764FFF" w:rsidP="002F135F">
      <w:pPr>
        <w:spacing w:line="240" w:lineRule="auto"/>
      </w:pPr>
      <w:r>
        <w:separator/>
      </w:r>
    </w:p>
  </w:footnote>
  <w:footnote w:type="continuationSeparator" w:id="0">
    <w:p w:rsidR="00764FFF" w:rsidRDefault="00764FFF" w:rsidP="002F13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AA4"/>
    <w:multiLevelType w:val="hybridMultilevel"/>
    <w:tmpl w:val="599A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C53A7"/>
    <w:multiLevelType w:val="hybridMultilevel"/>
    <w:tmpl w:val="ED58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173525"/>
    <w:multiLevelType w:val="hybridMultilevel"/>
    <w:tmpl w:val="16A89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D8A2B58"/>
    <w:multiLevelType w:val="hybridMultilevel"/>
    <w:tmpl w:val="0F0CA35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F5974B3"/>
    <w:multiLevelType w:val="hybridMultilevel"/>
    <w:tmpl w:val="7B5A9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8C1195"/>
    <w:multiLevelType w:val="hybridMultilevel"/>
    <w:tmpl w:val="50C85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E13AAB"/>
    <w:multiLevelType w:val="hybridMultilevel"/>
    <w:tmpl w:val="033C9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9A00AE"/>
    <w:multiLevelType w:val="hybridMultilevel"/>
    <w:tmpl w:val="69020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996077"/>
    <w:multiLevelType w:val="hybridMultilevel"/>
    <w:tmpl w:val="07B0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7B4F5E"/>
    <w:multiLevelType w:val="hybridMultilevel"/>
    <w:tmpl w:val="2A78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CD6DEB"/>
    <w:multiLevelType w:val="hybridMultilevel"/>
    <w:tmpl w:val="50821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321734"/>
    <w:multiLevelType w:val="hybridMultilevel"/>
    <w:tmpl w:val="916EA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2E44A93"/>
    <w:multiLevelType w:val="hybridMultilevel"/>
    <w:tmpl w:val="3F726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404634"/>
    <w:multiLevelType w:val="hybridMultilevel"/>
    <w:tmpl w:val="0C5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722A87"/>
    <w:multiLevelType w:val="hybridMultilevel"/>
    <w:tmpl w:val="8E3AA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6EC784C"/>
    <w:multiLevelType w:val="hybridMultilevel"/>
    <w:tmpl w:val="D5887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570210"/>
    <w:multiLevelType w:val="hybridMultilevel"/>
    <w:tmpl w:val="C0EE2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A36DEA"/>
    <w:multiLevelType w:val="hybridMultilevel"/>
    <w:tmpl w:val="EDCE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1D05FF"/>
    <w:multiLevelType w:val="hybridMultilevel"/>
    <w:tmpl w:val="7F6026A2"/>
    <w:lvl w:ilvl="0" w:tplc="F3CA36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18443E4"/>
    <w:multiLevelType w:val="hybridMultilevel"/>
    <w:tmpl w:val="62B8A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4BE1D86"/>
    <w:multiLevelType w:val="hybridMultilevel"/>
    <w:tmpl w:val="CE342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61104E"/>
    <w:multiLevelType w:val="hybridMultilevel"/>
    <w:tmpl w:val="51E8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4A54CB"/>
    <w:multiLevelType w:val="hybridMultilevel"/>
    <w:tmpl w:val="49E8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9FC0D6E"/>
    <w:multiLevelType w:val="hybridMultilevel"/>
    <w:tmpl w:val="7544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FA28EB"/>
    <w:multiLevelType w:val="hybridMultilevel"/>
    <w:tmpl w:val="274E282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29176D"/>
    <w:multiLevelType w:val="hybridMultilevel"/>
    <w:tmpl w:val="E58E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054844"/>
    <w:multiLevelType w:val="hybridMultilevel"/>
    <w:tmpl w:val="8F4A94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0C59F6"/>
    <w:multiLevelType w:val="hybridMultilevel"/>
    <w:tmpl w:val="D4A6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F6C2314"/>
    <w:multiLevelType w:val="hybridMultilevel"/>
    <w:tmpl w:val="EAF0B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26E14FE"/>
    <w:multiLevelType w:val="hybridMultilevel"/>
    <w:tmpl w:val="ECEA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0351BE"/>
    <w:multiLevelType w:val="hybridMultilevel"/>
    <w:tmpl w:val="0842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463846"/>
    <w:multiLevelType w:val="hybridMultilevel"/>
    <w:tmpl w:val="22DA8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BE053E"/>
    <w:multiLevelType w:val="hybridMultilevel"/>
    <w:tmpl w:val="8E0C05F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7D24A9"/>
    <w:multiLevelType w:val="hybridMultilevel"/>
    <w:tmpl w:val="2E72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F071FF"/>
    <w:multiLevelType w:val="hybridMultilevel"/>
    <w:tmpl w:val="B4D016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A1501E"/>
    <w:multiLevelType w:val="hybridMultilevel"/>
    <w:tmpl w:val="B860E9A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AA019B"/>
    <w:multiLevelType w:val="hybridMultilevel"/>
    <w:tmpl w:val="90CEC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66E5A04"/>
    <w:multiLevelType w:val="hybridMultilevel"/>
    <w:tmpl w:val="7F50B7A2"/>
    <w:lvl w:ilvl="0" w:tplc="90B021D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6D71EB8"/>
    <w:multiLevelType w:val="hybridMultilevel"/>
    <w:tmpl w:val="73D4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948458E"/>
    <w:multiLevelType w:val="hybridMultilevel"/>
    <w:tmpl w:val="79CC2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A2B33C7"/>
    <w:multiLevelType w:val="hybridMultilevel"/>
    <w:tmpl w:val="C26AD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C479CD"/>
    <w:multiLevelType w:val="hybridMultilevel"/>
    <w:tmpl w:val="0F8CE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01A6050"/>
    <w:multiLevelType w:val="hybridMultilevel"/>
    <w:tmpl w:val="63BC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0FC494C"/>
    <w:multiLevelType w:val="hybridMultilevel"/>
    <w:tmpl w:val="41048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651D04"/>
    <w:multiLevelType w:val="hybridMultilevel"/>
    <w:tmpl w:val="A430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4825E6D"/>
    <w:multiLevelType w:val="hybridMultilevel"/>
    <w:tmpl w:val="A456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BE26EF4"/>
    <w:multiLevelType w:val="hybridMultilevel"/>
    <w:tmpl w:val="C3180B7A"/>
    <w:lvl w:ilvl="0" w:tplc="8F227FD8">
      <w:start w:val="1"/>
      <w:numFmt w:val="bullet"/>
      <w:lvlText w:val="•"/>
      <w:lvlJc w:val="left"/>
      <w:pPr>
        <w:tabs>
          <w:tab w:val="num" w:pos="720"/>
        </w:tabs>
        <w:ind w:left="720" w:hanging="360"/>
      </w:pPr>
      <w:rPr>
        <w:rFonts w:ascii="Arial" w:hAnsi="Arial" w:hint="default"/>
      </w:rPr>
    </w:lvl>
    <w:lvl w:ilvl="1" w:tplc="17B02310">
      <w:start w:val="339"/>
      <w:numFmt w:val="bullet"/>
      <w:lvlText w:val="•"/>
      <w:lvlJc w:val="left"/>
      <w:pPr>
        <w:tabs>
          <w:tab w:val="num" w:pos="1440"/>
        </w:tabs>
        <w:ind w:left="1440" w:hanging="360"/>
      </w:pPr>
      <w:rPr>
        <w:rFonts w:ascii="Arial" w:hAnsi="Arial" w:hint="default"/>
      </w:rPr>
    </w:lvl>
    <w:lvl w:ilvl="2" w:tplc="61A8C532" w:tentative="1">
      <w:start w:val="1"/>
      <w:numFmt w:val="bullet"/>
      <w:lvlText w:val="•"/>
      <w:lvlJc w:val="left"/>
      <w:pPr>
        <w:tabs>
          <w:tab w:val="num" w:pos="2160"/>
        </w:tabs>
        <w:ind w:left="2160" w:hanging="360"/>
      </w:pPr>
      <w:rPr>
        <w:rFonts w:ascii="Arial" w:hAnsi="Arial" w:hint="default"/>
      </w:rPr>
    </w:lvl>
    <w:lvl w:ilvl="3" w:tplc="A164F5E6" w:tentative="1">
      <w:start w:val="1"/>
      <w:numFmt w:val="bullet"/>
      <w:lvlText w:val="•"/>
      <w:lvlJc w:val="left"/>
      <w:pPr>
        <w:tabs>
          <w:tab w:val="num" w:pos="2880"/>
        </w:tabs>
        <w:ind w:left="2880" w:hanging="360"/>
      </w:pPr>
      <w:rPr>
        <w:rFonts w:ascii="Arial" w:hAnsi="Arial" w:hint="default"/>
      </w:rPr>
    </w:lvl>
    <w:lvl w:ilvl="4" w:tplc="0BEEF590" w:tentative="1">
      <w:start w:val="1"/>
      <w:numFmt w:val="bullet"/>
      <w:lvlText w:val="•"/>
      <w:lvlJc w:val="left"/>
      <w:pPr>
        <w:tabs>
          <w:tab w:val="num" w:pos="3600"/>
        </w:tabs>
        <w:ind w:left="3600" w:hanging="360"/>
      </w:pPr>
      <w:rPr>
        <w:rFonts w:ascii="Arial" w:hAnsi="Arial" w:hint="default"/>
      </w:rPr>
    </w:lvl>
    <w:lvl w:ilvl="5" w:tplc="31D07434" w:tentative="1">
      <w:start w:val="1"/>
      <w:numFmt w:val="bullet"/>
      <w:lvlText w:val="•"/>
      <w:lvlJc w:val="left"/>
      <w:pPr>
        <w:tabs>
          <w:tab w:val="num" w:pos="4320"/>
        </w:tabs>
        <w:ind w:left="4320" w:hanging="360"/>
      </w:pPr>
      <w:rPr>
        <w:rFonts w:ascii="Arial" w:hAnsi="Arial" w:hint="default"/>
      </w:rPr>
    </w:lvl>
    <w:lvl w:ilvl="6" w:tplc="75C439B4" w:tentative="1">
      <w:start w:val="1"/>
      <w:numFmt w:val="bullet"/>
      <w:lvlText w:val="•"/>
      <w:lvlJc w:val="left"/>
      <w:pPr>
        <w:tabs>
          <w:tab w:val="num" w:pos="5040"/>
        </w:tabs>
        <w:ind w:left="5040" w:hanging="360"/>
      </w:pPr>
      <w:rPr>
        <w:rFonts w:ascii="Arial" w:hAnsi="Arial" w:hint="default"/>
      </w:rPr>
    </w:lvl>
    <w:lvl w:ilvl="7" w:tplc="3ADEC14C" w:tentative="1">
      <w:start w:val="1"/>
      <w:numFmt w:val="bullet"/>
      <w:lvlText w:val="•"/>
      <w:lvlJc w:val="left"/>
      <w:pPr>
        <w:tabs>
          <w:tab w:val="num" w:pos="5760"/>
        </w:tabs>
        <w:ind w:left="5760" w:hanging="360"/>
      </w:pPr>
      <w:rPr>
        <w:rFonts w:ascii="Arial" w:hAnsi="Arial" w:hint="default"/>
      </w:rPr>
    </w:lvl>
    <w:lvl w:ilvl="8" w:tplc="FFB42CBC" w:tentative="1">
      <w:start w:val="1"/>
      <w:numFmt w:val="bullet"/>
      <w:lvlText w:val="•"/>
      <w:lvlJc w:val="left"/>
      <w:pPr>
        <w:tabs>
          <w:tab w:val="num" w:pos="6480"/>
        </w:tabs>
        <w:ind w:left="6480" w:hanging="360"/>
      </w:pPr>
      <w:rPr>
        <w:rFonts w:ascii="Arial" w:hAnsi="Arial" w:hint="default"/>
      </w:rPr>
    </w:lvl>
  </w:abstractNum>
  <w:abstractNum w:abstractNumId="47">
    <w:nsid w:val="7C937217"/>
    <w:multiLevelType w:val="hybridMultilevel"/>
    <w:tmpl w:val="45B6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20"/>
  </w:num>
  <w:num w:numId="4">
    <w:abstractNumId w:val="12"/>
  </w:num>
  <w:num w:numId="5">
    <w:abstractNumId w:val="28"/>
  </w:num>
  <w:num w:numId="6">
    <w:abstractNumId w:val="44"/>
  </w:num>
  <w:num w:numId="7">
    <w:abstractNumId w:val="40"/>
  </w:num>
  <w:num w:numId="8">
    <w:abstractNumId w:val="38"/>
  </w:num>
  <w:num w:numId="9">
    <w:abstractNumId w:val="42"/>
  </w:num>
  <w:num w:numId="10">
    <w:abstractNumId w:val="19"/>
  </w:num>
  <w:num w:numId="11">
    <w:abstractNumId w:val="41"/>
  </w:num>
  <w:num w:numId="12">
    <w:abstractNumId w:val="34"/>
  </w:num>
  <w:num w:numId="13">
    <w:abstractNumId w:val="14"/>
  </w:num>
  <w:num w:numId="14">
    <w:abstractNumId w:val="25"/>
  </w:num>
  <w:num w:numId="15">
    <w:abstractNumId w:val="43"/>
  </w:num>
  <w:num w:numId="16">
    <w:abstractNumId w:val="21"/>
  </w:num>
  <w:num w:numId="17">
    <w:abstractNumId w:val="45"/>
  </w:num>
  <w:num w:numId="18">
    <w:abstractNumId w:val="31"/>
  </w:num>
  <w:num w:numId="19">
    <w:abstractNumId w:val="13"/>
  </w:num>
  <w:num w:numId="20">
    <w:abstractNumId w:val="4"/>
  </w:num>
  <w:num w:numId="21">
    <w:abstractNumId w:val="1"/>
  </w:num>
  <w:num w:numId="22">
    <w:abstractNumId w:val="47"/>
  </w:num>
  <w:num w:numId="23">
    <w:abstractNumId w:val="16"/>
  </w:num>
  <w:num w:numId="24">
    <w:abstractNumId w:val="27"/>
  </w:num>
  <w:num w:numId="25">
    <w:abstractNumId w:val="22"/>
  </w:num>
  <w:num w:numId="26">
    <w:abstractNumId w:val="36"/>
  </w:num>
  <w:num w:numId="27">
    <w:abstractNumId w:val="33"/>
  </w:num>
  <w:num w:numId="28">
    <w:abstractNumId w:val="37"/>
  </w:num>
  <w:num w:numId="29">
    <w:abstractNumId w:val="17"/>
  </w:num>
  <w:num w:numId="30">
    <w:abstractNumId w:val="9"/>
  </w:num>
  <w:num w:numId="31">
    <w:abstractNumId w:val="8"/>
  </w:num>
  <w:num w:numId="32">
    <w:abstractNumId w:val="32"/>
  </w:num>
  <w:num w:numId="33">
    <w:abstractNumId w:val="5"/>
  </w:num>
  <w:num w:numId="34">
    <w:abstractNumId w:val="29"/>
  </w:num>
  <w:num w:numId="35">
    <w:abstractNumId w:val="10"/>
  </w:num>
  <w:num w:numId="36">
    <w:abstractNumId w:val="26"/>
  </w:num>
  <w:num w:numId="37">
    <w:abstractNumId w:val="7"/>
  </w:num>
  <w:num w:numId="38">
    <w:abstractNumId w:val="35"/>
  </w:num>
  <w:num w:numId="39">
    <w:abstractNumId w:val="18"/>
  </w:num>
  <w:num w:numId="40">
    <w:abstractNumId w:val="39"/>
  </w:num>
  <w:num w:numId="41">
    <w:abstractNumId w:val="30"/>
  </w:num>
  <w:num w:numId="42">
    <w:abstractNumId w:val="23"/>
  </w:num>
  <w:num w:numId="43">
    <w:abstractNumId w:val="15"/>
  </w:num>
  <w:num w:numId="44">
    <w:abstractNumId w:val="2"/>
  </w:num>
  <w:num w:numId="45">
    <w:abstractNumId w:val="0"/>
  </w:num>
  <w:num w:numId="46">
    <w:abstractNumId w:val="46"/>
  </w:num>
  <w:num w:numId="47">
    <w:abstractNumId w:val="1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0F"/>
    <w:rsid w:val="00003527"/>
    <w:rsid w:val="000122D7"/>
    <w:rsid w:val="0001234D"/>
    <w:rsid w:val="0002181E"/>
    <w:rsid w:val="00024B08"/>
    <w:rsid w:val="0002534B"/>
    <w:rsid w:val="00025BCB"/>
    <w:rsid w:val="00026534"/>
    <w:rsid w:val="000432CA"/>
    <w:rsid w:val="000457DB"/>
    <w:rsid w:val="00046B31"/>
    <w:rsid w:val="00050DAC"/>
    <w:rsid w:val="00056968"/>
    <w:rsid w:val="00061939"/>
    <w:rsid w:val="000634C1"/>
    <w:rsid w:val="00095555"/>
    <w:rsid w:val="000A63EC"/>
    <w:rsid w:val="000A6B4A"/>
    <w:rsid w:val="000B1A7D"/>
    <w:rsid w:val="000B6953"/>
    <w:rsid w:val="000C26ED"/>
    <w:rsid w:val="000C66B4"/>
    <w:rsid w:val="000D0643"/>
    <w:rsid w:val="000D1158"/>
    <w:rsid w:val="000F0653"/>
    <w:rsid w:val="000F1930"/>
    <w:rsid w:val="00107258"/>
    <w:rsid w:val="001309A0"/>
    <w:rsid w:val="001343D2"/>
    <w:rsid w:val="00144899"/>
    <w:rsid w:val="00160E93"/>
    <w:rsid w:val="00181CB8"/>
    <w:rsid w:val="001834EB"/>
    <w:rsid w:val="001868BE"/>
    <w:rsid w:val="001958AB"/>
    <w:rsid w:val="001A3879"/>
    <w:rsid w:val="001A3E40"/>
    <w:rsid w:val="001B731E"/>
    <w:rsid w:val="001C6C1F"/>
    <w:rsid w:val="001E19F7"/>
    <w:rsid w:val="001F0593"/>
    <w:rsid w:val="001F4161"/>
    <w:rsid w:val="00201AFB"/>
    <w:rsid w:val="00203C78"/>
    <w:rsid w:val="00205D90"/>
    <w:rsid w:val="00216D31"/>
    <w:rsid w:val="00231EEB"/>
    <w:rsid w:val="00235211"/>
    <w:rsid w:val="00236A34"/>
    <w:rsid w:val="00236E56"/>
    <w:rsid w:val="00243B64"/>
    <w:rsid w:val="002531B3"/>
    <w:rsid w:val="00253FC1"/>
    <w:rsid w:val="00260447"/>
    <w:rsid w:val="00260A5E"/>
    <w:rsid w:val="002636EB"/>
    <w:rsid w:val="002655E5"/>
    <w:rsid w:val="00267C4F"/>
    <w:rsid w:val="00276932"/>
    <w:rsid w:val="00280576"/>
    <w:rsid w:val="00290B0B"/>
    <w:rsid w:val="00291A36"/>
    <w:rsid w:val="00296B9A"/>
    <w:rsid w:val="002A0B20"/>
    <w:rsid w:val="002A2714"/>
    <w:rsid w:val="002A30BB"/>
    <w:rsid w:val="002A5167"/>
    <w:rsid w:val="002C3A0E"/>
    <w:rsid w:val="002C7401"/>
    <w:rsid w:val="002D6102"/>
    <w:rsid w:val="002E35BA"/>
    <w:rsid w:val="002F0291"/>
    <w:rsid w:val="002F135F"/>
    <w:rsid w:val="0030473C"/>
    <w:rsid w:val="003052B9"/>
    <w:rsid w:val="00307BB0"/>
    <w:rsid w:val="00310EC1"/>
    <w:rsid w:val="003130FB"/>
    <w:rsid w:val="003243C0"/>
    <w:rsid w:val="00332650"/>
    <w:rsid w:val="00333A4A"/>
    <w:rsid w:val="00340CB7"/>
    <w:rsid w:val="00346E72"/>
    <w:rsid w:val="00363E7F"/>
    <w:rsid w:val="003703D5"/>
    <w:rsid w:val="00372C86"/>
    <w:rsid w:val="00373C6D"/>
    <w:rsid w:val="00375E73"/>
    <w:rsid w:val="00381193"/>
    <w:rsid w:val="00386DB3"/>
    <w:rsid w:val="00396A81"/>
    <w:rsid w:val="003A1966"/>
    <w:rsid w:val="003A7D16"/>
    <w:rsid w:val="003A7FC1"/>
    <w:rsid w:val="003B0CD6"/>
    <w:rsid w:val="003B5CE4"/>
    <w:rsid w:val="003E17E7"/>
    <w:rsid w:val="003F3D05"/>
    <w:rsid w:val="003F7089"/>
    <w:rsid w:val="00400B1A"/>
    <w:rsid w:val="00401EB1"/>
    <w:rsid w:val="0041581C"/>
    <w:rsid w:val="0042332B"/>
    <w:rsid w:val="00425F7F"/>
    <w:rsid w:val="00427754"/>
    <w:rsid w:val="004375B6"/>
    <w:rsid w:val="00443F3F"/>
    <w:rsid w:val="004610DA"/>
    <w:rsid w:val="004638EC"/>
    <w:rsid w:val="004712DB"/>
    <w:rsid w:val="00471FD7"/>
    <w:rsid w:val="00483139"/>
    <w:rsid w:val="0049232B"/>
    <w:rsid w:val="00494E74"/>
    <w:rsid w:val="004A261B"/>
    <w:rsid w:val="004B0EF6"/>
    <w:rsid w:val="004B1C42"/>
    <w:rsid w:val="004B290E"/>
    <w:rsid w:val="004C1CAB"/>
    <w:rsid w:val="004D0DCD"/>
    <w:rsid w:val="004D1461"/>
    <w:rsid w:val="004F1497"/>
    <w:rsid w:val="004F2398"/>
    <w:rsid w:val="004F4DF5"/>
    <w:rsid w:val="00500607"/>
    <w:rsid w:val="0050192B"/>
    <w:rsid w:val="00510B6D"/>
    <w:rsid w:val="00515157"/>
    <w:rsid w:val="00516FE4"/>
    <w:rsid w:val="00520A7E"/>
    <w:rsid w:val="005324F4"/>
    <w:rsid w:val="0053302E"/>
    <w:rsid w:val="005414C1"/>
    <w:rsid w:val="00550443"/>
    <w:rsid w:val="005567FD"/>
    <w:rsid w:val="0056459F"/>
    <w:rsid w:val="00566E34"/>
    <w:rsid w:val="0057370B"/>
    <w:rsid w:val="00583A42"/>
    <w:rsid w:val="00587C84"/>
    <w:rsid w:val="005A1CFF"/>
    <w:rsid w:val="005A297A"/>
    <w:rsid w:val="005A5D58"/>
    <w:rsid w:val="005A67D4"/>
    <w:rsid w:val="005A7DB6"/>
    <w:rsid w:val="005B00AC"/>
    <w:rsid w:val="005B0CEF"/>
    <w:rsid w:val="005B6978"/>
    <w:rsid w:val="005E1238"/>
    <w:rsid w:val="005E2DFE"/>
    <w:rsid w:val="005E5254"/>
    <w:rsid w:val="005E7EAC"/>
    <w:rsid w:val="005F1289"/>
    <w:rsid w:val="005F2040"/>
    <w:rsid w:val="005F209F"/>
    <w:rsid w:val="005F59F8"/>
    <w:rsid w:val="005F5A0B"/>
    <w:rsid w:val="005F6557"/>
    <w:rsid w:val="00602101"/>
    <w:rsid w:val="006067C6"/>
    <w:rsid w:val="00614D9C"/>
    <w:rsid w:val="00621956"/>
    <w:rsid w:val="00633E04"/>
    <w:rsid w:val="00650AF4"/>
    <w:rsid w:val="006519DA"/>
    <w:rsid w:val="0067277E"/>
    <w:rsid w:val="00675EA0"/>
    <w:rsid w:val="00682350"/>
    <w:rsid w:val="00684057"/>
    <w:rsid w:val="006907AF"/>
    <w:rsid w:val="006A4AE3"/>
    <w:rsid w:val="006A5857"/>
    <w:rsid w:val="006C49D2"/>
    <w:rsid w:val="006C5C69"/>
    <w:rsid w:val="006E1028"/>
    <w:rsid w:val="006E72B1"/>
    <w:rsid w:val="006F2B10"/>
    <w:rsid w:val="007143A0"/>
    <w:rsid w:val="0071470F"/>
    <w:rsid w:val="0072334B"/>
    <w:rsid w:val="00737123"/>
    <w:rsid w:val="0073772C"/>
    <w:rsid w:val="0074083B"/>
    <w:rsid w:val="0074330C"/>
    <w:rsid w:val="007444D8"/>
    <w:rsid w:val="00751C6A"/>
    <w:rsid w:val="00762AD6"/>
    <w:rsid w:val="00764FFF"/>
    <w:rsid w:val="00771F42"/>
    <w:rsid w:val="00776B61"/>
    <w:rsid w:val="00776D8D"/>
    <w:rsid w:val="00776EEC"/>
    <w:rsid w:val="00780BB2"/>
    <w:rsid w:val="00786A54"/>
    <w:rsid w:val="0079298A"/>
    <w:rsid w:val="007966D2"/>
    <w:rsid w:val="007B38EB"/>
    <w:rsid w:val="007C03D5"/>
    <w:rsid w:val="007C7A57"/>
    <w:rsid w:val="007D360B"/>
    <w:rsid w:val="007E0A1E"/>
    <w:rsid w:val="007E203B"/>
    <w:rsid w:val="007E6F66"/>
    <w:rsid w:val="007F20E6"/>
    <w:rsid w:val="008007E0"/>
    <w:rsid w:val="00800EB7"/>
    <w:rsid w:val="0080245C"/>
    <w:rsid w:val="00806EF0"/>
    <w:rsid w:val="00813F15"/>
    <w:rsid w:val="0081464F"/>
    <w:rsid w:val="00827FB0"/>
    <w:rsid w:val="00832B17"/>
    <w:rsid w:val="00841762"/>
    <w:rsid w:val="008426A9"/>
    <w:rsid w:val="0084552D"/>
    <w:rsid w:val="00846E49"/>
    <w:rsid w:val="00855E26"/>
    <w:rsid w:val="00857521"/>
    <w:rsid w:val="00860FE8"/>
    <w:rsid w:val="00874FBC"/>
    <w:rsid w:val="00876F8E"/>
    <w:rsid w:val="00881266"/>
    <w:rsid w:val="0088258B"/>
    <w:rsid w:val="0088726F"/>
    <w:rsid w:val="0089120D"/>
    <w:rsid w:val="00893DE2"/>
    <w:rsid w:val="008B02B1"/>
    <w:rsid w:val="008B3726"/>
    <w:rsid w:val="008C07C7"/>
    <w:rsid w:val="008C3DEC"/>
    <w:rsid w:val="008D2060"/>
    <w:rsid w:val="008D49F2"/>
    <w:rsid w:val="008D5BB1"/>
    <w:rsid w:val="008F1901"/>
    <w:rsid w:val="008F35FE"/>
    <w:rsid w:val="00907609"/>
    <w:rsid w:val="00926510"/>
    <w:rsid w:val="00931CE1"/>
    <w:rsid w:val="0093665A"/>
    <w:rsid w:val="00951F9D"/>
    <w:rsid w:val="009578CB"/>
    <w:rsid w:val="0096067E"/>
    <w:rsid w:val="00972E6C"/>
    <w:rsid w:val="00982B70"/>
    <w:rsid w:val="009A0CA6"/>
    <w:rsid w:val="009A23B2"/>
    <w:rsid w:val="009B6112"/>
    <w:rsid w:val="009D0891"/>
    <w:rsid w:val="009E3D31"/>
    <w:rsid w:val="009E6897"/>
    <w:rsid w:val="00A25641"/>
    <w:rsid w:val="00A276BC"/>
    <w:rsid w:val="00A32DA0"/>
    <w:rsid w:val="00A35E1B"/>
    <w:rsid w:val="00A47275"/>
    <w:rsid w:val="00A6715C"/>
    <w:rsid w:val="00A714B3"/>
    <w:rsid w:val="00A7287D"/>
    <w:rsid w:val="00A7333C"/>
    <w:rsid w:val="00A8606E"/>
    <w:rsid w:val="00A92593"/>
    <w:rsid w:val="00AA54C0"/>
    <w:rsid w:val="00AB0AE9"/>
    <w:rsid w:val="00AB679E"/>
    <w:rsid w:val="00AC04B0"/>
    <w:rsid w:val="00AC509D"/>
    <w:rsid w:val="00AC5DC0"/>
    <w:rsid w:val="00AD2837"/>
    <w:rsid w:val="00B04AAC"/>
    <w:rsid w:val="00B05DFD"/>
    <w:rsid w:val="00B05F02"/>
    <w:rsid w:val="00B16EBD"/>
    <w:rsid w:val="00B21457"/>
    <w:rsid w:val="00B319DF"/>
    <w:rsid w:val="00B3309D"/>
    <w:rsid w:val="00B347C3"/>
    <w:rsid w:val="00B44DD1"/>
    <w:rsid w:val="00B47944"/>
    <w:rsid w:val="00B537F8"/>
    <w:rsid w:val="00B55189"/>
    <w:rsid w:val="00B7076C"/>
    <w:rsid w:val="00B7193C"/>
    <w:rsid w:val="00B7565D"/>
    <w:rsid w:val="00B80155"/>
    <w:rsid w:val="00B82FC6"/>
    <w:rsid w:val="00BA344A"/>
    <w:rsid w:val="00BC0599"/>
    <w:rsid w:val="00BC10CE"/>
    <w:rsid w:val="00BC13DB"/>
    <w:rsid w:val="00BD67B7"/>
    <w:rsid w:val="00BD68EB"/>
    <w:rsid w:val="00BE0C30"/>
    <w:rsid w:val="00BE559E"/>
    <w:rsid w:val="00BF235D"/>
    <w:rsid w:val="00C0359B"/>
    <w:rsid w:val="00C05B8B"/>
    <w:rsid w:val="00C116FC"/>
    <w:rsid w:val="00C13A1B"/>
    <w:rsid w:val="00C15A38"/>
    <w:rsid w:val="00C440C1"/>
    <w:rsid w:val="00C5049A"/>
    <w:rsid w:val="00C52FE7"/>
    <w:rsid w:val="00C614EA"/>
    <w:rsid w:val="00C653FC"/>
    <w:rsid w:val="00C70C0A"/>
    <w:rsid w:val="00C75BF3"/>
    <w:rsid w:val="00C83104"/>
    <w:rsid w:val="00C845FB"/>
    <w:rsid w:val="00C8793E"/>
    <w:rsid w:val="00C94E7D"/>
    <w:rsid w:val="00C97109"/>
    <w:rsid w:val="00C97431"/>
    <w:rsid w:val="00CA7040"/>
    <w:rsid w:val="00CC3F84"/>
    <w:rsid w:val="00CC6991"/>
    <w:rsid w:val="00CF391D"/>
    <w:rsid w:val="00CF6CAF"/>
    <w:rsid w:val="00CF78DA"/>
    <w:rsid w:val="00D0389F"/>
    <w:rsid w:val="00D11533"/>
    <w:rsid w:val="00D123EE"/>
    <w:rsid w:val="00D1779F"/>
    <w:rsid w:val="00D25416"/>
    <w:rsid w:val="00D323F2"/>
    <w:rsid w:val="00D3705F"/>
    <w:rsid w:val="00D4060D"/>
    <w:rsid w:val="00D42213"/>
    <w:rsid w:val="00D6214A"/>
    <w:rsid w:val="00D7364C"/>
    <w:rsid w:val="00D83726"/>
    <w:rsid w:val="00D83DA6"/>
    <w:rsid w:val="00D84B81"/>
    <w:rsid w:val="00D853CB"/>
    <w:rsid w:val="00D86558"/>
    <w:rsid w:val="00D87653"/>
    <w:rsid w:val="00D91971"/>
    <w:rsid w:val="00D92717"/>
    <w:rsid w:val="00D93770"/>
    <w:rsid w:val="00DA03C1"/>
    <w:rsid w:val="00DA2352"/>
    <w:rsid w:val="00DA59CF"/>
    <w:rsid w:val="00DA6600"/>
    <w:rsid w:val="00DB1AA3"/>
    <w:rsid w:val="00DC3CF6"/>
    <w:rsid w:val="00DE00ED"/>
    <w:rsid w:val="00DE2092"/>
    <w:rsid w:val="00E232CA"/>
    <w:rsid w:val="00E34C1B"/>
    <w:rsid w:val="00E435E8"/>
    <w:rsid w:val="00E7193E"/>
    <w:rsid w:val="00E75941"/>
    <w:rsid w:val="00E77A61"/>
    <w:rsid w:val="00EC1690"/>
    <w:rsid w:val="00EC2BFE"/>
    <w:rsid w:val="00EC5941"/>
    <w:rsid w:val="00ED16CD"/>
    <w:rsid w:val="00ED4C80"/>
    <w:rsid w:val="00ED7E38"/>
    <w:rsid w:val="00EF0124"/>
    <w:rsid w:val="00EF4212"/>
    <w:rsid w:val="00EF777B"/>
    <w:rsid w:val="00F0057E"/>
    <w:rsid w:val="00F052A7"/>
    <w:rsid w:val="00F06EDC"/>
    <w:rsid w:val="00F13EF8"/>
    <w:rsid w:val="00F14396"/>
    <w:rsid w:val="00F1520D"/>
    <w:rsid w:val="00F22394"/>
    <w:rsid w:val="00F40DF5"/>
    <w:rsid w:val="00F52B9B"/>
    <w:rsid w:val="00F536D0"/>
    <w:rsid w:val="00F607B7"/>
    <w:rsid w:val="00F665ED"/>
    <w:rsid w:val="00F677CE"/>
    <w:rsid w:val="00F82970"/>
    <w:rsid w:val="00F93B6E"/>
    <w:rsid w:val="00F947CF"/>
    <w:rsid w:val="00F971AA"/>
    <w:rsid w:val="00FB4466"/>
    <w:rsid w:val="00FB52D7"/>
    <w:rsid w:val="00FB7455"/>
    <w:rsid w:val="00FC27AD"/>
    <w:rsid w:val="00FC2E3A"/>
    <w:rsid w:val="00FC372C"/>
    <w:rsid w:val="00FD0090"/>
    <w:rsid w:val="00FF3A2F"/>
    <w:rsid w:val="00FF3EB5"/>
    <w:rsid w:val="00FF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ED"/>
    <w:pPr>
      <w:spacing w:after="0"/>
    </w:pPr>
    <w:rPr>
      <w:rFonts w:ascii="Arial" w:hAnsi="Arial" w:cs="Arial"/>
      <w:sz w:val="24"/>
      <w:szCs w:val="24"/>
    </w:rPr>
  </w:style>
  <w:style w:type="paragraph" w:styleId="Heading1">
    <w:name w:val="heading 1"/>
    <w:basedOn w:val="Normal"/>
    <w:next w:val="Normal"/>
    <w:link w:val="Heading1Char"/>
    <w:uiPriority w:val="9"/>
    <w:qFormat/>
    <w:rsid w:val="00776EEC"/>
    <w:pPr>
      <w:outlineLvl w:val="0"/>
    </w:pPr>
    <w:rPr>
      <w:b/>
    </w:rPr>
  </w:style>
  <w:style w:type="paragraph" w:styleId="Heading2">
    <w:name w:val="heading 2"/>
    <w:basedOn w:val="Heading1"/>
    <w:next w:val="Normal"/>
    <w:link w:val="Heading2Char"/>
    <w:uiPriority w:val="9"/>
    <w:unhideWhenUsed/>
    <w:qFormat/>
    <w:rsid w:val="002A0B20"/>
    <w:pPr>
      <w:outlineLvl w:val="1"/>
    </w:pPr>
  </w:style>
  <w:style w:type="paragraph" w:styleId="Heading3">
    <w:name w:val="heading 3"/>
    <w:basedOn w:val="Heading4"/>
    <w:next w:val="Normal"/>
    <w:link w:val="Heading3Char"/>
    <w:uiPriority w:val="9"/>
    <w:unhideWhenUsed/>
    <w:qFormat/>
    <w:rsid w:val="002F0291"/>
    <w:pPr>
      <w:outlineLvl w:val="2"/>
    </w:pPr>
    <w:rPr>
      <w:i w:val="0"/>
      <w:u w:val="single"/>
    </w:rPr>
  </w:style>
  <w:style w:type="paragraph" w:styleId="Heading4">
    <w:name w:val="heading 4"/>
    <w:basedOn w:val="Normal"/>
    <w:next w:val="Normal"/>
    <w:link w:val="Heading4Char"/>
    <w:uiPriority w:val="9"/>
    <w:unhideWhenUsed/>
    <w:qFormat/>
    <w:rsid w:val="002A0B20"/>
    <w:pPr>
      <w:keepNext/>
      <w:keepLines/>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EC"/>
    <w:rPr>
      <w:rFonts w:ascii="Arial" w:hAnsi="Arial" w:cs="Arial"/>
      <w:b/>
      <w:sz w:val="24"/>
      <w:szCs w:val="24"/>
    </w:rPr>
  </w:style>
  <w:style w:type="character" w:customStyle="1" w:styleId="Heading2Char">
    <w:name w:val="Heading 2 Char"/>
    <w:basedOn w:val="DefaultParagraphFont"/>
    <w:link w:val="Heading2"/>
    <w:uiPriority w:val="9"/>
    <w:rsid w:val="002A0B20"/>
    <w:rPr>
      <w:rFonts w:ascii="Arial" w:hAnsi="Arial" w:cs="Arial"/>
      <w:b/>
      <w:sz w:val="24"/>
      <w:szCs w:val="24"/>
    </w:rPr>
  </w:style>
  <w:style w:type="character" w:customStyle="1" w:styleId="Heading3Char">
    <w:name w:val="Heading 3 Char"/>
    <w:basedOn w:val="DefaultParagraphFont"/>
    <w:link w:val="Heading3"/>
    <w:uiPriority w:val="9"/>
    <w:rsid w:val="002F0291"/>
    <w:rPr>
      <w:rFonts w:ascii="Arial" w:eastAsiaTheme="majorEastAsia" w:hAnsi="Arial" w:cstheme="majorBidi"/>
      <w:bCs/>
      <w:iCs/>
      <w:sz w:val="24"/>
      <w:szCs w:val="24"/>
      <w:u w:val="single"/>
    </w:rPr>
  </w:style>
  <w:style w:type="character" w:customStyle="1" w:styleId="Heading4Char">
    <w:name w:val="Heading 4 Char"/>
    <w:basedOn w:val="DefaultParagraphFont"/>
    <w:link w:val="Heading4"/>
    <w:uiPriority w:val="9"/>
    <w:rsid w:val="002A0B20"/>
    <w:rPr>
      <w:rFonts w:ascii="Arial" w:eastAsiaTheme="majorEastAsia" w:hAnsi="Arial" w:cstheme="majorBidi"/>
      <w:bCs/>
      <w:i/>
      <w:iCs/>
      <w:sz w:val="24"/>
      <w:szCs w:val="24"/>
    </w:rPr>
  </w:style>
  <w:style w:type="paragraph" w:styleId="ListParagraph">
    <w:name w:val="List Paragraph"/>
    <w:basedOn w:val="Normal"/>
    <w:uiPriority w:val="34"/>
    <w:qFormat/>
    <w:rsid w:val="002C7401"/>
    <w:pPr>
      <w:ind w:left="720"/>
      <w:contextualSpacing/>
    </w:pPr>
  </w:style>
  <w:style w:type="paragraph" w:styleId="BalloonText">
    <w:name w:val="Balloon Text"/>
    <w:basedOn w:val="Normal"/>
    <w:link w:val="BalloonTextChar"/>
    <w:uiPriority w:val="99"/>
    <w:semiHidden/>
    <w:unhideWhenUsed/>
    <w:rsid w:val="002C74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01"/>
    <w:rPr>
      <w:rFonts w:ascii="Tahoma" w:hAnsi="Tahoma" w:cs="Tahoma"/>
      <w:sz w:val="16"/>
      <w:szCs w:val="16"/>
    </w:rPr>
  </w:style>
  <w:style w:type="paragraph" w:customStyle="1" w:styleId="Default">
    <w:name w:val="Default"/>
    <w:rsid w:val="002C740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C7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401"/>
    <w:pPr>
      <w:tabs>
        <w:tab w:val="center" w:pos="4513"/>
        <w:tab w:val="right" w:pos="9026"/>
      </w:tabs>
      <w:spacing w:line="240" w:lineRule="auto"/>
    </w:pPr>
  </w:style>
  <w:style w:type="character" w:customStyle="1" w:styleId="HeaderChar">
    <w:name w:val="Header Char"/>
    <w:basedOn w:val="DefaultParagraphFont"/>
    <w:link w:val="Header"/>
    <w:uiPriority w:val="99"/>
    <w:rsid w:val="002C7401"/>
    <w:rPr>
      <w:rFonts w:ascii="Arial" w:hAnsi="Arial" w:cs="Arial"/>
      <w:sz w:val="24"/>
      <w:szCs w:val="24"/>
    </w:rPr>
  </w:style>
  <w:style w:type="paragraph" w:styleId="Footer">
    <w:name w:val="footer"/>
    <w:basedOn w:val="Normal"/>
    <w:link w:val="FooterChar"/>
    <w:uiPriority w:val="99"/>
    <w:unhideWhenUsed/>
    <w:rsid w:val="002C7401"/>
    <w:pPr>
      <w:tabs>
        <w:tab w:val="center" w:pos="4513"/>
        <w:tab w:val="right" w:pos="9026"/>
      </w:tabs>
      <w:spacing w:line="240" w:lineRule="auto"/>
    </w:pPr>
  </w:style>
  <w:style w:type="character" w:customStyle="1" w:styleId="FooterChar">
    <w:name w:val="Footer Char"/>
    <w:basedOn w:val="DefaultParagraphFont"/>
    <w:link w:val="Footer"/>
    <w:uiPriority w:val="99"/>
    <w:rsid w:val="002C7401"/>
    <w:rPr>
      <w:rFonts w:ascii="Arial" w:hAnsi="Arial" w:cs="Arial"/>
      <w:sz w:val="24"/>
      <w:szCs w:val="24"/>
    </w:rPr>
  </w:style>
  <w:style w:type="character" w:styleId="Hyperlink">
    <w:name w:val="Hyperlink"/>
    <w:basedOn w:val="DefaultParagraphFont"/>
    <w:uiPriority w:val="99"/>
    <w:unhideWhenUsed/>
    <w:rsid w:val="002C74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0ED"/>
    <w:pPr>
      <w:spacing w:after="0"/>
    </w:pPr>
    <w:rPr>
      <w:rFonts w:ascii="Arial" w:hAnsi="Arial" w:cs="Arial"/>
      <w:sz w:val="24"/>
      <w:szCs w:val="24"/>
    </w:rPr>
  </w:style>
  <w:style w:type="paragraph" w:styleId="Heading1">
    <w:name w:val="heading 1"/>
    <w:basedOn w:val="Normal"/>
    <w:next w:val="Normal"/>
    <w:link w:val="Heading1Char"/>
    <w:uiPriority w:val="9"/>
    <w:qFormat/>
    <w:rsid w:val="00776EEC"/>
    <w:pPr>
      <w:outlineLvl w:val="0"/>
    </w:pPr>
    <w:rPr>
      <w:b/>
    </w:rPr>
  </w:style>
  <w:style w:type="paragraph" w:styleId="Heading2">
    <w:name w:val="heading 2"/>
    <w:basedOn w:val="Heading1"/>
    <w:next w:val="Normal"/>
    <w:link w:val="Heading2Char"/>
    <w:uiPriority w:val="9"/>
    <w:unhideWhenUsed/>
    <w:qFormat/>
    <w:rsid w:val="002A0B20"/>
    <w:pPr>
      <w:outlineLvl w:val="1"/>
    </w:pPr>
  </w:style>
  <w:style w:type="paragraph" w:styleId="Heading3">
    <w:name w:val="heading 3"/>
    <w:basedOn w:val="Heading4"/>
    <w:next w:val="Normal"/>
    <w:link w:val="Heading3Char"/>
    <w:uiPriority w:val="9"/>
    <w:unhideWhenUsed/>
    <w:qFormat/>
    <w:rsid w:val="002F0291"/>
    <w:pPr>
      <w:outlineLvl w:val="2"/>
    </w:pPr>
    <w:rPr>
      <w:i w:val="0"/>
      <w:u w:val="single"/>
    </w:rPr>
  </w:style>
  <w:style w:type="paragraph" w:styleId="Heading4">
    <w:name w:val="heading 4"/>
    <w:basedOn w:val="Normal"/>
    <w:next w:val="Normal"/>
    <w:link w:val="Heading4Char"/>
    <w:uiPriority w:val="9"/>
    <w:unhideWhenUsed/>
    <w:qFormat/>
    <w:rsid w:val="002A0B20"/>
    <w:pPr>
      <w:keepNext/>
      <w:keepLines/>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EC"/>
    <w:rPr>
      <w:rFonts w:ascii="Arial" w:hAnsi="Arial" w:cs="Arial"/>
      <w:b/>
      <w:sz w:val="24"/>
      <w:szCs w:val="24"/>
    </w:rPr>
  </w:style>
  <w:style w:type="character" w:customStyle="1" w:styleId="Heading2Char">
    <w:name w:val="Heading 2 Char"/>
    <w:basedOn w:val="DefaultParagraphFont"/>
    <w:link w:val="Heading2"/>
    <w:uiPriority w:val="9"/>
    <w:rsid w:val="002A0B20"/>
    <w:rPr>
      <w:rFonts w:ascii="Arial" w:hAnsi="Arial" w:cs="Arial"/>
      <w:b/>
      <w:sz w:val="24"/>
      <w:szCs w:val="24"/>
    </w:rPr>
  </w:style>
  <w:style w:type="character" w:customStyle="1" w:styleId="Heading3Char">
    <w:name w:val="Heading 3 Char"/>
    <w:basedOn w:val="DefaultParagraphFont"/>
    <w:link w:val="Heading3"/>
    <w:uiPriority w:val="9"/>
    <w:rsid w:val="002F0291"/>
    <w:rPr>
      <w:rFonts w:ascii="Arial" w:eastAsiaTheme="majorEastAsia" w:hAnsi="Arial" w:cstheme="majorBidi"/>
      <w:bCs/>
      <w:iCs/>
      <w:sz w:val="24"/>
      <w:szCs w:val="24"/>
      <w:u w:val="single"/>
    </w:rPr>
  </w:style>
  <w:style w:type="character" w:customStyle="1" w:styleId="Heading4Char">
    <w:name w:val="Heading 4 Char"/>
    <w:basedOn w:val="DefaultParagraphFont"/>
    <w:link w:val="Heading4"/>
    <w:uiPriority w:val="9"/>
    <w:rsid w:val="002A0B20"/>
    <w:rPr>
      <w:rFonts w:ascii="Arial" w:eastAsiaTheme="majorEastAsia" w:hAnsi="Arial" w:cstheme="majorBidi"/>
      <w:bCs/>
      <w:i/>
      <w:iCs/>
      <w:sz w:val="24"/>
      <w:szCs w:val="24"/>
    </w:rPr>
  </w:style>
  <w:style w:type="paragraph" w:styleId="ListParagraph">
    <w:name w:val="List Paragraph"/>
    <w:basedOn w:val="Normal"/>
    <w:uiPriority w:val="34"/>
    <w:qFormat/>
    <w:rsid w:val="002C7401"/>
    <w:pPr>
      <w:ind w:left="720"/>
      <w:contextualSpacing/>
    </w:pPr>
  </w:style>
  <w:style w:type="paragraph" w:styleId="BalloonText">
    <w:name w:val="Balloon Text"/>
    <w:basedOn w:val="Normal"/>
    <w:link w:val="BalloonTextChar"/>
    <w:uiPriority w:val="99"/>
    <w:semiHidden/>
    <w:unhideWhenUsed/>
    <w:rsid w:val="002C74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401"/>
    <w:rPr>
      <w:rFonts w:ascii="Tahoma" w:hAnsi="Tahoma" w:cs="Tahoma"/>
      <w:sz w:val="16"/>
      <w:szCs w:val="16"/>
    </w:rPr>
  </w:style>
  <w:style w:type="paragraph" w:customStyle="1" w:styleId="Default">
    <w:name w:val="Default"/>
    <w:rsid w:val="002C740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C7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7401"/>
    <w:pPr>
      <w:tabs>
        <w:tab w:val="center" w:pos="4513"/>
        <w:tab w:val="right" w:pos="9026"/>
      </w:tabs>
      <w:spacing w:line="240" w:lineRule="auto"/>
    </w:pPr>
  </w:style>
  <w:style w:type="character" w:customStyle="1" w:styleId="HeaderChar">
    <w:name w:val="Header Char"/>
    <w:basedOn w:val="DefaultParagraphFont"/>
    <w:link w:val="Header"/>
    <w:uiPriority w:val="99"/>
    <w:rsid w:val="002C7401"/>
    <w:rPr>
      <w:rFonts w:ascii="Arial" w:hAnsi="Arial" w:cs="Arial"/>
      <w:sz w:val="24"/>
      <w:szCs w:val="24"/>
    </w:rPr>
  </w:style>
  <w:style w:type="paragraph" w:styleId="Footer">
    <w:name w:val="footer"/>
    <w:basedOn w:val="Normal"/>
    <w:link w:val="FooterChar"/>
    <w:uiPriority w:val="99"/>
    <w:unhideWhenUsed/>
    <w:rsid w:val="002C7401"/>
    <w:pPr>
      <w:tabs>
        <w:tab w:val="center" w:pos="4513"/>
        <w:tab w:val="right" w:pos="9026"/>
      </w:tabs>
      <w:spacing w:line="240" w:lineRule="auto"/>
    </w:pPr>
  </w:style>
  <w:style w:type="character" w:customStyle="1" w:styleId="FooterChar">
    <w:name w:val="Footer Char"/>
    <w:basedOn w:val="DefaultParagraphFont"/>
    <w:link w:val="Footer"/>
    <w:uiPriority w:val="99"/>
    <w:rsid w:val="002C7401"/>
    <w:rPr>
      <w:rFonts w:ascii="Arial" w:hAnsi="Arial" w:cs="Arial"/>
      <w:sz w:val="24"/>
      <w:szCs w:val="24"/>
    </w:rPr>
  </w:style>
  <w:style w:type="character" w:styleId="Hyperlink">
    <w:name w:val="Hyperlink"/>
    <w:basedOn w:val="DefaultParagraphFont"/>
    <w:uiPriority w:val="99"/>
    <w:unhideWhenUsed/>
    <w:rsid w:val="002C74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385">
      <w:bodyDiv w:val="1"/>
      <w:marLeft w:val="0"/>
      <w:marRight w:val="0"/>
      <w:marTop w:val="0"/>
      <w:marBottom w:val="0"/>
      <w:divBdr>
        <w:top w:val="none" w:sz="0" w:space="0" w:color="auto"/>
        <w:left w:val="none" w:sz="0" w:space="0" w:color="auto"/>
        <w:bottom w:val="none" w:sz="0" w:space="0" w:color="auto"/>
        <w:right w:val="none" w:sz="0" w:space="0" w:color="auto"/>
      </w:divBdr>
    </w:div>
    <w:div w:id="87387325">
      <w:bodyDiv w:val="1"/>
      <w:marLeft w:val="0"/>
      <w:marRight w:val="0"/>
      <w:marTop w:val="0"/>
      <w:marBottom w:val="0"/>
      <w:divBdr>
        <w:top w:val="none" w:sz="0" w:space="0" w:color="auto"/>
        <w:left w:val="none" w:sz="0" w:space="0" w:color="auto"/>
        <w:bottom w:val="none" w:sz="0" w:space="0" w:color="auto"/>
        <w:right w:val="none" w:sz="0" w:space="0" w:color="auto"/>
      </w:divBdr>
    </w:div>
    <w:div w:id="153956267">
      <w:bodyDiv w:val="1"/>
      <w:marLeft w:val="0"/>
      <w:marRight w:val="0"/>
      <w:marTop w:val="0"/>
      <w:marBottom w:val="0"/>
      <w:divBdr>
        <w:top w:val="none" w:sz="0" w:space="0" w:color="auto"/>
        <w:left w:val="none" w:sz="0" w:space="0" w:color="auto"/>
        <w:bottom w:val="none" w:sz="0" w:space="0" w:color="auto"/>
        <w:right w:val="none" w:sz="0" w:space="0" w:color="auto"/>
      </w:divBdr>
    </w:div>
    <w:div w:id="175853615">
      <w:bodyDiv w:val="1"/>
      <w:marLeft w:val="0"/>
      <w:marRight w:val="0"/>
      <w:marTop w:val="0"/>
      <w:marBottom w:val="0"/>
      <w:divBdr>
        <w:top w:val="none" w:sz="0" w:space="0" w:color="auto"/>
        <w:left w:val="none" w:sz="0" w:space="0" w:color="auto"/>
        <w:bottom w:val="none" w:sz="0" w:space="0" w:color="auto"/>
        <w:right w:val="none" w:sz="0" w:space="0" w:color="auto"/>
      </w:divBdr>
    </w:div>
    <w:div w:id="177082897">
      <w:bodyDiv w:val="1"/>
      <w:marLeft w:val="0"/>
      <w:marRight w:val="0"/>
      <w:marTop w:val="0"/>
      <w:marBottom w:val="0"/>
      <w:divBdr>
        <w:top w:val="none" w:sz="0" w:space="0" w:color="auto"/>
        <w:left w:val="none" w:sz="0" w:space="0" w:color="auto"/>
        <w:bottom w:val="none" w:sz="0" w:space="0" w:color="auto"/>
        <w:right w:val="none" w:sz="0" w:space="0" w:color="auto"/>
      </w:divBdr>
    </w:div>
    <w:div w:id="198052040">
      <w:bodyDiv w:val="1"/>
      <w:marLeft w:val="0"/>
      <w:marRight w:val="0"/>
      <w:marTop w:val="0"/>
      <w:marBottom w:val="0"/>
      <w:divBdr>
        <w:top w:val="none" w:sz="0" w:space="0" w:color="auto"/>
        <w:left w:val="none" w:sz="0" w:space="0" w:color="auto"/>
        <w:bottom w:val="none" w:sz="0" w:space="0" w:color="auto"/>
        <w:right w:val="none" w:sz="0" w:space="0" w:color="auto"/>
      </w:divBdr>
    </w:div>
    <w:div w:id="207650746">
      <w:bodyDiv w:val="1"/>
      <w:marLeft w:val="0"/>
      <w:marRight w:val="0"/>
      <w:marTop w:val="0"/>
      <w:marBottom w:val="0"/>
      <w:divBdr>
        <w:top w:val="none" w:sz="0" w:space="0" w:color="auto"/>
        <w:left w:val="none" w:sz="0" w:space="0" w:color="auto"/>
        <w:bottom w:val="none" w:sz="0" w:space="0" w:color="auto"/>
        <w:right w:val="none" w:sz="0" w:space="0" w:color="auto"/>
      </w:divBdr>
    </w:div>
    <w:div w:id="213272792">
      <w:bodyDiv w:val="1"/>
      <w:marLeft w:val="0"/>
      <w:marRight w:val="0"/>
      <w:marTop w:val="0"/>
      <w:marBottom w:val="0"/>
      <w:divBdr>
        <w:top w:val="none" w:sz="0" w:space="0" w:color="auto"/>
        <w:left w:val="none" w:sz="0" w:space="0" w:color="auto"/>
        <w:bottom w:val="none" w:sz="0" w:space="0" w:color="auto"/>
        <w:right w:val="none" w:sz="0" w:space="0" w:color="auto"/>
      </w:divBdr>
    </w:div>
    <w:div w:id="255292622">
      <w:bodyDiv w:val="1"/>
      <w:marLeft w:val="0"/>
      <w:marRight w:val="0"/>
      <w:marTop w:val="0"/>
      <w:marBottom w:val="0"/>
      <w:divBdr>
        <w:top w:val="none" w:sz="0" w:space="0" w:color="auto"/>
        <w:left w:val="none" w:sz="0" w:space="0" w:color="auto"/>
        <w:bottom w:val="none" w:sz="0" w:space="0" w:color="auto"/>
        <w:right w:val="none" w:sz="0" w:space="0" w:color="auto"/>
      </w:divBdr>
    </w:div>
    <w:div w:id="265625770">
      <w:bodyDiv w:val="1"/>
      <w:marLeft w:val="0"/>
      <w:marRight w:val="0"/>
      <w:marTop w:val="0"/>
      <w:marBottom w:val="0"/>
      <w:divBdr>
        <w:top w:val="none" w:sz="0" w:space="0" w:color="auto"/>
        <w:left w:val="none" w:sz="0" w:space="0" w:color="auto"/>
        <w:bottom w:val="none" w:sz="0" w:space="0" w:color="auto"/>
        <w:right w:val="none" w:sz="0" w:space="0" w:color="auto"/>
      </w:divBdr>
    </w:div>
    <w:div w:id="325204118">
      <w:bodyDiv w:val="1"/>
      <w:marLeft w:val="0"/>
      <w:marRight w:val="0"/>
      <w:marTop w:val="0"/>
      <w:marBottom w:val="0"/>
      <w:divBdr>
        <w:top w:val="none" w:sz="0" w:space="0" w:color="auto"/>
        <w:left w:val="none" w:sz="0" w:space="0" w:color="auto"/>
        <w:bottom w:val="none" w:sz="0" w:space="0" w:color="auto"/>
        <w:right w:val="none" w:sz="0" w:space="0" w:color="auto"/>
      </w:divBdr>
    </w:div>
    <w:div w:id="424887643">
      <w:bodyDiv w:val="1"/>
      <w:marLeft w:val="0"/>
      <w:marRight w:val="0"/>
      <w:marTop w:val="0"/>
      <w:marBottom w:val="0"/>
      <w:divBdr>
        <w:top w:val="none" w:sz="0" w:space="0" w:color="auto"/>
        <w:left w:val="none" w:sz="0" w:space="0" w:color="auto"/>
        <w:bottom w:val="none" w:sz="0" w:space="0" w:color="auto"/>
        <w:right w:val="none" w:sz="0" w:space="0" w:color="auto"/>
      </w:divBdr>
    </w:div>
    <w:div w:id="441650724">
      <w:bodyDiv w:val="1"/>
      <w:marLeft w:val="0"/>
      <w:marRight w:val="0"/>
      <w:marTop w:val="0"/>
      <w:marBottom w:val="0"/>
      <w:divBdr>
        <w:top w:val="none" w:sz="0" w:space="0" w:color="auto"/>
        <w:left w:val="none" w:sz="0" w:space="0" w:color="auto"/>
        <w:bottom w:val="none" w:sz="0" w:space="0" w:color="auto"/>
        <w:right w:val="none" w:sz="0" w:space="0" w:color="auto"/>
      </w:divBdr>
    </w:div>
    <w:div w:id="443036870">
      <w:bodyDiv w:val="1"/>
      <w:marLeft w:val="0"/>
      <w:marRight w:val="0"/>
      <w:marTop w:val="0"/>
      <w:marBottom w:val="0"/>
      <w:divBdr>
        <w:top w:val="none" w:sz="0" w:space="0" w:color="auto"/>
        <w:left w:val="none" w:sz="0" w:space="0" w:color="auto"/>
        <w:bottom w:val="none" w:sz="0" w:space="0" w:color="auto"/>
        <w:right w:val="none" w:sz="0" w:space="0" w:color="auto"/>
      </w:divBdr>
    </w:div>
    <w:div w:id="546258456">
      <w:bodyDiv w:val="1"/>
      <w:marLeft w:val="0"/>
      <w:marRight w:val="0"/>
      <w:marTop w:val="0"/>
      <w:marBottom w:val="0"/>
      <w:divBdr>
        <w:top w:val="none" w:sz="0" w:space="0" w:color="auto"/>
        <w:left w:val="none" w:sz="0" w:space="0" w:color="auto"/>
        <w:bottom w:val="none" w:sz="0" w:space="0" w:color="auto"/>
        <w:right w:val="none" w:sz="0" w:space="0" w:color="auto"/>
      </w:divBdr>
    </w:div>
    <w:div w:id="562912329">
      <w:bodyDiv w:val="1"/>
      <w:marLeft w:val="0"/>
      <w:marRight w:val="0"/>
      <w:marTop w:val="0"/>
      <w:marBottom w:val="0"/>
      <w:divBdr>
        <w:top w:val="none" w:sz="0" w:space="0" w:color="auto"/>
        <w:left w:val="none" w:sz="0" w:space="0" w:color="auto"/>
        <w:bottom w:val="none" w:sz="0" w:space="0" w:color="auto"/>
        <w:right w:val="none" w:sz="0" w:space="0" w:color="auto"/>
      </w:divBdr>
    </w:div>
    <w:div w:id="593512255">
      <w:bodyDiv w:val="1"/>
      <w:marLeft w:val="0"/>
      <w:marRight w:val="0"/>
      <w:marTop w:val="0"/>
      <w:marBottom w:val="0"/>
      <w:divBdr>
        <w:top w:val="none" w:sz="0" w:space="0" w:color="auto"/>
        <w:left w:val="none" w:sz="0" w:space="0" w:color="auto"/>
        <w:bottom w:val="none" w:sz="0" w:space="0" w:color="auto"/>
        <w:right w:val="none" w:sz="0" w:space="0" w:color="auto"/>
      </w:divBdr>
    </w:div>
    <w:div w:id="626160878">
      <w:bodyDiv w:val="1"/>
      <w:marLeft w:val="0"/>
      <w:marRight w:val="0"/>
      <w:marTop w:val="0"/>
      <w:marBottom w:val="0"/>
      <w:divBdr>
        <w:top w:val="none" w:sz="0" w:space="0" w:color="auto"/>
        <w:left w:val="none" w:sz="0" w:space="0" w:color="auto"/>
        <w:bottom w:val="none" w:sz="0" w:space="0" w:color="auto"/>
        <w:right w:val="none" w:sz="0" w:space="0" w:color="auto"/>
      </w:divBdr>
    </w:div>
    <w:div w:id="701368885">
      <w:bodyDiv w:val="1"/>
      <w:marLeft w:val="0"/>
      <w:marRight w:val="0"/>
      <w:marTop w:val="0"/>
      <w:marBottom w:val="0"/>
      <w:divBdr>
        <w:top w:val="none" w:sz="0" w:space="0" w:color="auto"/>
        <w:left w:val="none" w:sz="0" w:space="0" w:color="auto"/>
        <w:bottom w:val="none" w:sz="0" w:space="0" w:color="auto"/>
        <w:right w:val="none" w:sz="0" w:space="0" w:color="auto"/>
      </w:divBdr>
    </w:div>
    <w:div w:id="758063072">
      <w:bodyDiv w:val="1"/>
      <w:marLeft w:val="0"/>
      <w:marRight w:val="0"/>
      <w:marTop w:val="0"/>
      <w:marBottom w:val="0"/>
      <w:divBdr>
        <w:top w:val="none" w:sz="0" w:space="0" w:color="auto"/>
        <w:left w:val="none" w:sz="0" w:space="0" w:color="auto"/>
        <w:bottom w:val="none" w:sz="0" w:space="0" w:color="auto"/>
        <w:right w:val="none" w:sz="0" w:space="0" w:color="auto"/>
      </w:divBdr>
    </w:div>
    <w:div w:id="775560953">
      <w:bodyDiv w:val="1"/>
      <w:marLeft w:val="0"/>
      <w:marRight w:val="0"/>
      <w:marTop w:val="0"/>
      <w:marBottom w:val="0"/>
      <w:divBdr>
        <w:top w:val="none" w:sz="0" w:space="0" w:color="auto"/>
        <w:left w:val="none" w:sz="0" w:space="0" w:color="auto"/>
        <w:bottom w:val="none" w:sz="0" w:space="0" w:color="auto"/>
        <w:right w:val="none" w:sz="0" w:space="0" w:color="auto"/>
      </w:divBdr>
    </w:div>
    <w:div w:id="824593892">
      <w:bodyDiv w:val="1"/>
      <w:marLeft w:val="0"/>
      <w:marRight w:val="0"/>
      <w:marTop w:val="0"/>
      <w:marBottom w:val="0"/>
      <w:divBdr>
        <w:top w:val="none" w:sz="0" w:space="0" w:color="auto"/>
        <w:left w:val="none" w:sz="0" w:space="0" w:color="auto"/>
        <w:bottom w:val="none" w:sz="0" w:space="0" w:color="auto"/>
        <w:right w:val="none" w:sz="0" w:space="0" w:color="auto"/>
      </w:divBdr>
    </w:div>
    <w:div w:id="843596432">
      <w:bodyDiv w:val="1"/>
      <w:marLeft w:val="0"/>
      <w:marRight w:val="0"/>
      <w:marTop w:val="0"/>
      <w:marBottom w:val="0"/>
      <w:divBdr>
        <w:top w:val="none" w:sz="0" w:space="0" w:color="auto"/>
        <w:left w:val="none" w:sz="0" w:space="0" w:color="auto"/>
        <w:bottom w:val="none" w:sz="0" w:space="0" w:color="auto"/>
        <w:right w:val="none" w:sz="0" w:space="0" w:color="auto"/>
      </w:divBdr>
    </w:div>
    <w:div w:id="908611064">
      <w:bodyDiv w:val="1"/>
      <w:marLeft w:val="0"/>
      <w:marRight w:val="0"/>
      <w:marTop w:val="0"/>
      <w:marBottom w:val="0"/>
      <w:divBdr>
        <w:top w:val="none" w:sz="0" w:space="0" w:color="auto"/>
        <w:left w:val="none" w:sz="0" w:space="0" w:color="auto"/>
        <w:bottom w:val="none" w:sz="0" w:space="0" w:color="auto"/>
        <w:right w:val="none" w:sz="0" w:space="0" w:color="auto"/>
      </w:divBdr>
    </w:div>
    <w:div w:id="962928263">
      <w:bodyDiv w:val="1"/>
      <w:marLeft w:val="0"/>
      <w:marRight w:val="0"/>
      <w:marTop w:val="0"/>
      <w:marBottom w:val="0"/>
      <w:divBdr>
        <w:top w:val="none" w:sz="0" w:space="0" w:color="auto"/>
        <w:left w:val="none" w:sz="0" w:space="0" w:color="auto"/>
        <w:bottom w:val="none" w:sz="0" w:space="0" w:color="auto"/>
        <w:right w:val="none" w:sz="0" w:space="0" w:color="auto"/>
      </w:divBdr>
    </w:div>
    <w:div w:id="986396299">
      <w:bodyDiv w:val="1"/>
      <w:marLeft w:val="0"/>
      <w:marRight w:val="0"/>
      <w:marTop w:val="0"/>
      <w:marBottom w:val="0"/>
      <w:divBdr>
        <w:top w:val="none" w:sz="0" w:space="0" w:color="auto"/>
        <w:left w:val="none" w:sz="0" w:space="0" w:color="auto"/>
        <w:bottom w:val="none" w:sz="0" w:space="0" w:color="auto"/>
        <w:right w:val="none" w:sz="0" w:space="0" w:color="auto"/>
      </w:divBdr>
    </w:div>
    <w:div w:id="1018653469">
      <w:bodyDiv w:val="1"/>
      <w:marLeft w:val="0"/>
      <w:marRight w:val="0"/>
      <w:marTop w:val="0"/>
      <w:marBottom w:val="0"/>
      <w:divBdr>
        <w:top w:val="none" w:sz="0" w:space="0" w:color="auto"/>
        <w:left w:val="none" w:sz="0" w:space="0" w:color="auto"/>
        <w:bottom w:val="none" w:sz="0" w:space="0" w:color="auto"/>
        <w:right w:val="none" w:sz="0" w:space="0" w:color="auto"/>
      </w:divBdr>
    </w:div>
    <w:div w:id="1028220746">
      <w:bodyDiv w:val="1"/>
      <w:marLeft w:val="0"/>
      <w:marRight w:val="0"/>
      <w:marTop w:val="0"/>
      <w:marBottom w:val="0"/>
      <w:divBdr>
        <w:top w:val="none" w:sz="0" w:space="0" w:color="auto"/>
        <w:left w:val="none" w:sz="0" w:space="0" w:color="auto"/>
        <w:bottom w:val="none" w:sz="0" w:space="0" w:color="auto"/>
        <w:right w:val="none" w:sz="0" w:space="0" w:color="auto"/>
      </w:divBdr>
      <w:divsChild>
        <w:div w:id="708071435">
          <w:marLeft w:val="547"/>
          <w:marRight w:val="0"/>
          <w:marTop w:val="134"/>
          <w:marBottom w:val="0"/>
          <w:divBdr>
            <w:top w:val="none" w:sz="0" w:space="0" w:color="auto"/>
            <w:left w:val="none" w:sz="0" w:space="0" w:color="auto"/>
            <w:bottom w:val="none" w:sz="0" w:space="0" w:color="auto"/>
            <w:right w:val="none" w:sz="0" w:space="0" w:color="auto"/>
          </w:divBdr>
        </w:div>
        <w:div w:id="1616211441">
          <w:marLeft w:val="1166"/>
          <w:marRight w:val="0"/>
          <w:marTop w:val="134"/>
          <w:marBottom w:val="0"/>
          <w:divBdr>
            <w:top w:val="none" w:sz="0" w:space="0" w:color="auto"/>
            <w:left w:val="none" w:sz="0" w:space="0" w:color="auto"/>
            <w:bottom w:val="none" w:sz="0" w:space="0" w:color="auto"/>
            <w:right w:val="none" w:sz="0" w:space="0" w:color="auto"/>
          </w:divBdr>
        </w:div>
        <w:div w:id="1461873949">
          <w:marLeft w:val="1166"/>
          <w:marRight w:val="0"/>
          <w:marTop w:val="134"/>
          <w:marBottom w:val="0"/>
          <w:divBdr>
            <w:top w:val="none" w:sz="0" w:space="0" w:color="auto"/>
            <w:left w:val="none" w:sz="0" w:space="0" w:color="auto"/>
            <w:bottom w:val="none" w:sz="0" w:space="0" w:color="auto"/>
            <w:right w:val="none" w:sz="0" w:space="0" w:color="auto"/>
          </w:divBdr>
        </w:div>
        <w:div w:id="847257470">
          <w:marLeft w:val="1166"/>
          <w:marRight w:val="0"/>
          <w:marTop w:val="134"/>
          <w:marBottom w:val="0"/>
          <w:divBdr>
            <w:top w:val="none" w:sz="0" w:space="0" w:color="auto"/>
            <w:left w:val="none" w:sz="0" w:space="0" w:color="auto"/>
            <w:bottom w:val="none" w:sz="0" w:space="0" w:color="auto"/>
            <w:right w:val="none" w:sz="0" w:space="0" w:color="auto"/>
          </w:divBdr>
        </w:div>
        <w:div w:id="242573814">
          <w:marLeft w:val="1166"/>
          <w:marRight w:val="0"/>
          <w:marTop w:val="134"/>
          <w:marBottom w:val="0"/>
          <w:divBdr>
            <w:top w:val="none" w:sz="0" w:space="0" w:color="auto"/>
            <w:left w:val="none" w:sz="0" w:space="0" w:color="auto"/>
            <w:bottom w:val="none" w:sz="0" w:space="0" w:color="auto"/>
            <w:right w:val="none" w:sz="0" w:space="0" w:color="auto"/>
          </w:divBdr>
        </w:div>
        <w:div w:id="8071521">
          <w:marLeft w:val="547"/>
          <w:marRight w:val="0"/>
          <w:marTop w:val="134"/>
          <w:marBottom w:val="0"/>
          <w:divBdr>
            <w:top w:val="none" w:sz="0" w:space="0" w:color="auto"/>
            <w:left w:val="none" w:sz="0" w:space="0" w:color="auto"/>
            <w:bottom w:val="none" w:sz="0" w:space="0" w:color="auto"/>
            <w:right w:val="none" w:sz="0" w:space="0" w:color="auto"/>
          </w:divBdr>
        </w:div>
        <w:div w:id="1642420405">
          <w:marLeft w:val="547"/>
          <w:marRight w:val="0"/>
          <w:marTop w:val="134"/>
          <w:marBottom w:val="0"/>
          <w:divBdr>
            <w:top w:val="none" w:sz="0" w:space="0" w:color="auto"/>
            <w:left w:val="none" w:sz="0" w:space="0" w:color="auto"/>
            <w:bottom w:val="none" w:sz="0" w:space="0" w:color="auto"/>
            <w:right w:val="none" w:sz="0" w:space="0" w:color="auto"/>
          </w:divBdr>
        </w:div>
      </w:divsChild>
    </w:div>
    <w:div w:id="1046368423">
      <w:bodyDiv w:val="1"/>
      <w:marLeft w:val="0"/>
      <w:marRight w:val="0"/>
      <w:marTop w:val="0"/>
      <w:marBottom w:val="0"/>
      <w:divBdr>
        <w:top w:val="none" w:sz="0" w:space="0" w:color="auto"/>
        <w:left w:val="none" w:sz="0" w:space="0" w:color="auto"/>
        <w:bottom w:val="none" w:sz="0" w:space="0" w:color="auto"/>
        <w:right w:val="none" w:sz="0" w:space="0" w:color="auto"/>
      </w:divBdr>
    </w:div>
    <w:div w:id="1081220030">
      <w:bodyDiv w:val="1"/>
      <w:marLeft w:val="0"/>
      <w:marRight w:val="0"/>
      <w:marTop w:val="0"/>
      <w:marBottom w:val="0"/>
      <w:divBdr>
        <w:top w:val="none" w:sz="0" w:space="0" w:color="auto"/>
        <w:left w:val="none" w:sz="0" w:space="0" w:color="auto"/>
        <w:bottom w:val="none" w:sz="0" w:space="0" w:color="auto"/>
        <w:right w:val="none" w:sz="0" w:space="0" w:color="auto"/>
      </w:divBdr>
    </w:div>
    <w:div w:id="1088622687">
      <w:bodyDiv w:val="1"/>
      <w:marLeft w:val="0"/>
      <w:marRight w:val="0"/>
      <w:marTop w:val="0"/>
      <w:marBottom w:val="0"/>
      <w:divBdr>
        <w:top w:val="none" w:sz="0" w:space="0" w:color="auto"/>
        <w:left w:val="none" w:sz="0" w:space="0" w:color="auto"/>
        <w:bottom w:val="none" w:sz="0" w:space="0" w:color="auto"/>
        <w:right w:val="none" w:sz="0" w:space="0" w:color="auto"/>
      </w:divBdr>
    </w:div>
    <w:div w:id="1125199039">
      <w:bodyDiv w:val="1"/>
      <w:marLeft w:val="0"/>
      <w:marRight w:val="0"/>
      <w:marTop w:val="0"/>
      <w:marBottom w:val="0"/>
      <w:divBdr>
        <w:top w:val="none" w:sz="0" w:space="0" w:color="auto"/>
        <w:left w:val="none" w:sz="0" w:space="0" w:color="auto"/>
        <w:bottom w:val="none" w:sz="0" w:space="0" w:color="auto"/>
        <w:right w:val="none" w:sz="0" w:space="0" w:color="auto"/>
      </w:divBdr>
    </w:div>
    <w:div w:id="1132475789">
      <w:bodyDiv w:val="1"/>
      <w:marLeft w:val="0"/>
      <w:marRight w:val="0"/>
      <w:marTop w:val="0"/>
      <w:marBottom w:val="0"/>
      <w:divBdr>
        <w:top w:val="none" w:sz="0" w:space="0" w:color="auto"/>
        <w:left w:val="none" w:sz="0" w:space="0" w:color="auto"/>
        <w:bottom w:val="none" w:sz="0" w:space="0" w:color="auto"/>
        <w:right w:val="none" w:sz="0" w:space="0" w:color="auto"/>
      </w:divBdr>
    </w:div>
    <w:div w:id="1177110788">
      <w:bodyDiv w:val="1"/>
      <w:marLeft w:val="0"/>
      <w:marRight w:val="0"/>
      <w:marTop w:val="0"/>
      <w:marBottom w:val="0"/>
      <w:divBdr>
        <w:top w:val="none" w:sz="0" w:space="0" w:color="auto"/>
        <w:left w:val="none" w:sz="0" w:space="0" w:color="auto"/>
        <w:bottom w:val="none" w:sz="0" w:space="0" w:color="auto"/>
        <w:right w:val="none" w:sz="0" w:space="0" w:color="auto"/>
      </w:divBdr>
    </w:div>
    <w:div w:id="1191993650">
      <w:bodyDiv w:val="1"/>
      <w:marLeft w:val="0"/>
      <w:marRight w:val="0"/>
      <w:marTop w:val="0"/>
      <w:marBottom w:val="0"/>
      <w:divBdr>
        <w:top w:val="none" w:sz="0" w:space="0" w:color="auto"/>
        <w:left w:val="none" w:sz="0" w:space="0" w:color="auto"/>
        <w:bottom w:val="none" w:sz="0" w:space="0" w:color="auto"/>
        <w:right w:val="none" w:sz="0" w:space="0" w:color="auto"/>
      </w:divBdr>
    </w:div>
    <w:div w:id="1270625414">
      <w:bodyDiv w:val="1"/>
      <w:marLeft w:val="0"/>
      <w:marRight w:val="0"/>
      <w:marTop w:val="0"/>
      <w:marBottom w:val="0"/>
      <w:divBdr>
        <w:top w:val="none" w:sz="0" w:space="0" w:color="auto"/>
        <w:left w:val="none" w:sz="0" w:space="0" w:color="auto"/>
        <w:bottom w:val="none" w:sz="0" w:space="0" w:color="auto"/>
        <w:right w:val="none" w:sz="0" w:space="0" w:color="auto"/>
      </w:divBdr>
    </w:div>
    <w:div w:id="1276525309">
      <w:bodyDiv w:val="1"/>
      <w:marLeft w:val="0"/>
      <w:marRight w:val="0"/>
      <w:marTop w:val="0"/>
      <w:marBottom w:val="0"/>
      <w:divBdr>
        <w:top w:val="none" w:sz="0" w:space="0" w:color="auto"/>
        <w:left w:val="none" w:sz="0" w:space="0" w:color="auto"/>
        <w:bottom w:val="none" w:sz="0" w:space="0" w:color="auto"/>
        <w:right w:val="none" w:sz="0" w:space="0" w:color="auto"/>
      </w:divBdr>
    </w:div>
    <w:div w:id="1331251279">
      <w:bodyDiv w:val="1"/>
      <w:marLeft w:val="0"/>
      <w:marRight w:val="0"/>
      <w:marTop w:val="0"/>
      <w:marBottom w:val="0"/>
      <w:divBdr>
        <w:top w:val="none" w:sz="0" w:space="0" w:color="auto"/>
        <w:left w:val="none" w:sz="0" w:space="0" w:color="auto"/>
        <w:bottom w:val="none" w:sz="0" w:space="0" w:color="auto"/>
        <w:right w:val="none" w:sz="0" w:space="0" w:color="auto"/>
      </w:divBdr>
    </w:div>
    <w:div w:id="1362587133">
      <w:bodyDiv w:val="1"/>
      <w:marLeft w:val="0"/>
      <w:marRight w:val="0"/>
      <w:marTop w:val="0"/>
      <w:marBottom w:val="0"/>
      <w:divBdr>
        <w:top w:val="none" w:sz="0" w:space="0" w:color="auto"/>
        <w:left w:val="none" w:sz="0" w:space="0" w:color="auto"/>
        <w:bottom w:val="none" w:sz="0" w:space="0" w:color="auto"/>
        <w:right w:val="none" w:sz="0" w:space="0" w:color="auto"/>
      </w:divBdr>
    </w:div>
    <w:div w:id="1393117904">
      <w:bodyDiv w:val="1"/>
      <w:marLeft w:val="0"/>
      <w:marRight w:val="0"/>
      <w:marTop w:val="0"/>
      <w:marBottom w:val="0"/>
      <w:divBdr>
        <w:top w:val="none" w:sz="0" w:space="0" w:color="auto"/>
        <w:left w:val="none" w:sz="0" w:space="0" w:color="auto"/>
        <w:bottom w:val="none" w:sz="0" w:space="0" w:color="auto"/>
        <w:right w:val="none" w:sz="0" w:space="0" w:color="auto"/>
      </w:divBdr>
    </w:div>
    <w:div w:id="1396195302">
      <w:bodyDiv w:val="1"/>
      <w:marLeft w:val="0"/>
      <w:marRight w:val="0"/>
      <w:marTop w:val="0"/>
      <w:marBottom w:val="0"/>
      <w:divBdr>
        <w:top w:val="none" w:sz="0" w:space="0" w:color="auto"/>
        <w:left w:val="none" w:sz="0" w:space="0" w:color="auto"/>
        <w:bottom w:val="none" w:sz="0" w:space="0" w:color="auto"/>
        <w:right w:val="none" w:sz="0" w:space="0" w:color="auto"/>
      </w:divBdr>
    </w:div>
    <w:div w:id="1515992533">
      <w:bodyDiv w:val="1"/>
      <w:marLeft w:val="0"/>
      <w:marRight w:val="0"/>
      <w:marTop w:val="0"/>
      <w:marBottom w:val="0"/>
      <w:divBdr>
        <w:top w:val="none" w:sz="0" w:space="0" w:color="auto"/>
        <w:left w:val="none" w:sz="0" w:space="0" w:color="auto"/>
        <w:bottom w:val="none" w:sz="0" w:space="0" w:color="auto"/>
        <w:right w:val="none" w:sz="0" w:space="0" w:color="auto"/>
      </w:divBdr>
    </w:div>
    <w:div w:id="1527598213">
      <w:bodyDiv w:val="1"/>
      <w:marLeft w:val="0"/>
      <w:marRight w:val="0"/>
      <w:marTop w:val="0"/>
      <w:marBottom w:val="0"/>
      <w:divBdr>
        <w:top w:val="none" w:sz="0" w:space="0" w:color="auto"/>
        <w:left w:val="none" w:sz="0" w:space="0" w:color="auto"/>
        <w:bottom w:val="none" w:sz="0" w:space="0" w:color="auto"/>
        <w:right w:val="none" w:sz="0" w:space="0" w:color="auto"/>
      </w:divBdr>
    </w:div>
    <w:div w:id="1614704391">
      <w:bodyDiv w:val="1"/>
      <w:marLeft w:val="0"/>
      <w:marRight w:val="0"/>
      <w:marTop w:val="0"/>
      <w:marBottom w:val="0"/>
      <w:divBdr>
        <w:top w:val="none" w:sz="0" w:space="0" w:color="auto"/>
        <w:left w:val="none" w:sz="0" w:space="0" w:color="auto"/>
        <w:bottom w:val="none" w:sz="0" w:space="0" w:color="auto"/>
        <w:right w:val="none" w:sz="0" w:space="0" w:color="auto"/>
      </w:divBdr>
    </w:div>
    <w:div w:id="1867981358">
      <w:bodyDiv w:val="1"/>
      <w:marLeft w:val="0"/>
      <w:marRight w:val="0"/>
      <w:marTop w:val="0"/>
      <w:marBottom w:val="0"/>
      <w:divBdr>
        <w:top w:val="none" w:sz="0" w:space="0" w:color="auto"/>
        <w:left w:val="none" w:sz="0" w:space="0" w:color="auto"/>
        <w:bottom w:val="none" w:sz="0" w:space="0" w:color="auto"/>
        <w:right w:val="none" w:sz="0" w:space="0" w:color="auto"/>
      </w:divBdr>
    </w:div>
    <w:div w:id="1963535486">
      <w:bodyDiv w:val="1"/>
      <w:marLeft w:val="0"/>
      <w:marRight w:val="0"/>
      <w:marTop w:val="0"/>
      <w:marBottom w:val="0"/>
      <w:divBdr>
        <w:top w:val="none" w:sz="0" w:space="0" w:color="auto"/>
        <w:left w:val="none" w:sz="0" w:space="0" w:color="auto"/>
        <w:bottom w:val="none" w:sz="0" w:space="0" w:color="auto"/>
        <w:right w:val="none" w:sz="0" w:space="0" w:color="auto"/>
      </w:divBdr>
    </w:div>
    <w:div w:id="1999378662">
      <w:bodyDiv w:val="1"/>
      <w:marLeft w:val="0"/>
      <w:marRight w:val="0"/>
      <w:marTop w:val="0"/>
      <w:marBottom w:val="0"/>
      <w:divBdr>
        <w:top w:val="none" w:sz="0" w:space="0" w:color="auto"/>
        <w:left w:val="none" w:sz="0" w:space="0" w:color="auto"/>
        <w:bottom w:val="none" w:sz="0" w:space="0" w:color="auto"/>
        <w:right w:val="none" w:sz="0" w:space="0" w:color="auto"/>
      </w:divBdr>
    </w:div>
    <w:div w:id="2013604323">
      <w:bodyDiv w:val="1"/>
      <w:marLeft w:val="0"/>
      <w:marRight w:val="0"/>
      <w:marTop w:val="0"/>
      <w:marBottom w:val="0"/>
      <w:divBdr>
        <w:top w:val="none" w:sz="0" w:space="0" w:color="auto"/>
        <w:left w:val="none" w:sz="0" w:space="0" w:color="auto"/>
        <w:bottom w:val="none" w:sz="0" w:space="0" w:color="auto"/>
        <w:right w:val="none" w:sz="0" w:space="0" w:color="auto"/>
      </w:divBdr>
    </w:div>
    <w:div w:id="2043630437">
      <w:bodyDiv w:val="1"/>
      <w:marLeft w:val="0"/>
      <w:marRight w:val="0"/>
      <w:marTop w:val="0"/>
      <w:marBottom w:val="0"/>
      <w:divBdr>
        <w:top w:val="none" w:sz="0" w:space="0" w:color="auto"/>
        <w:left w:val="none" w:sz="0" w:space="0" w:color="auto"/>
        <w:bottom w:val="none" w:sz="0" w:space="0" w:color="auto"/>
        <w:right w:val="none" w:sz="0" w:space="0" w:color="auto"/>
      </w:divBdr>
    </w:div>
    <w:div w:id="2080135409">
      <w:bodyDiv w:val="1"/>
      <w:marLeft w:val="0"/>
      <w:marRight w:val="0"/>
      <w:marTop w:val="0"/>
      <w:marBottom w:val="0"/>
      <w:divBdr>
        <w:top w:val="none" w:sz="0" w:space="0" w:color="auto"/>
        <w:left w:val="none" w:sz="0" w:space="0" w:color="auto"/>
        <w:bottom w:val="none" w:sz="0" w:space="0" w:color="auto"/>
        <w:right w:val="none" w:sz="0" w:space="0" w:color="auto"/>
      </w:divBdr>
    </w:div>
    <w:div w:id="208452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customs.hmrc.gov.uk/channelsPortalWebApp/channelsPortalWebApp.portal?_nfpb=true&amp;_pageLabel=pageAboutUs_ShowContent&amp;id=HMCE_CL_000154&amp;propertyType=document" TargetMode="Externa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HighlandCouncil.gov.uk\StaffPersonal\PHILT\my%20documents\1.%20CHANGE%20MANAGEMENT\2.%20School%20Lets\Price%20modelling%20workbook%2029.9.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ighlandCouncil.gov.uk\StaffPersonal\PHILT\my%20documents\1.%20CHANGE%20MANAGEMENT\2.%20School%20Lets\Price%20modelling%20workbook%2029.9.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ighlandCouncil.gov.uk\StaffPersonal\PHILT\my%20documents\1.%20CHANGE%20MANAGEMENT\2.%20School%20Lets\Price%20modelling%20workbook%2029.9.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ighlandCouncil.gov.uk\StaffPersonal\PHILT\my%20documents\1.%20CHANGE%20MANAGEMENT\2.%20School%20Lets\Price%20modelling%20workbook%2029.9.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baseline="0"/>
              <a:t>Lets Volume and Income 16/17 v 17/18</a:t>
            </a:r>
          </a:p>
        </c:rich>
      </c:tx>
      <c:overlay val="0"/>
    </c:title>
    <c:autoTitleDeleted val="0"/>
    <c:plotArea>
      <c:layout/>
      <c:barChart>
        <c:barDir val="col"/>
        <c:grouping val="clustered"/>
        <c:varyColors val="0"/>
        <c:ser>
          <c:idx val="0"/>
          <c:order val="0"/>
          <c:tx>
            <c:strRef>
              <c:f>'2017 v 2016'!$H$10</c:f>
              <c:strCache>
                <c:ptCount val="1"/>
                <c:pt idx="0">
                  <c:v>No. lets</c:v>
                </c:pt>
              </c:strCache>
            </c:strRef>
          </c:tx>
          <c:invertIfNegative val="0"/>
          <c:dLbls>
            <c:dLbl>
              <c:idx val="0"/>
              <c:layout>
                <c:manualLayout>
                  <c:x val="-6.7013489642274446E-3"/>
                  <c:y val="1.3888836973104479E-2"/>
                </c:manualLayout>
              </c:layout>
              <c:showLegendKey val="0"/>
              <c:showVal val="0"/>
              <c:showCatName val="0"/>
              <c:showSerName val="1"/>
              <c:showPercent val="0"/>
              <c:showBubbleSize val="0"/>
            </c:dLbl>
            <c:dLbl>
              <c:idx val="1"/>
              <c:layout>
                <c:manualLayout>
                  <c:x val="-1.7907916884415148E-2"/>
                  <c:y val="2.0768894503840417E-2"/>
                </c:manualLayout>
              </c:layout>
              <c:showLegendKey val="0"/>
              <c:showVal val="0"/>
              <c:showCatName val="0"/>
              <c:showSerName val="1"/>
              <c:showPercent val="0"/>
              <c:showBubbleSize val="0"/>
            </c:dLbl>
            <c:txPr>
              <a:bodyPr/>
              <a:lstStyle/>
              <a:p>
                <a:pPr>
                  <a:defRPr sz="800"/>
                </a:pPr>
                <a:endParaRPr lang="en-US"/>
              </a:p>
            </c:txPr>
            <c:showLegendKey val="0"/>
            <c:showVal val="0"/>
            <c:showCatName val="0"/>
            <c:showSerName val="1"/>
            <c:showPercent val="0"/>
            <c:showBubbleSize val="0"/>
            <c:showLeaderLines val="0"/>
          </c:dLbls>
          <c:cat>
            <c:strRef>
              <c:f>'2017 v 2016'!$G$11:$G$12</c:f>
              <c:strCache>
                <c:ptCount val="2"/>
                <c:pt idx="0">
                  <c:v>1 April -30 Sept 2016</c:v>
                </c:pt>
                <c:pt idx="1">
                  <c:v>1 April -30 Sept 2017</c:v>
                </c:pt>
              </c:strCache>
            </c:strRef>
          </c:cat>
          <c:val>
            <c:numRef>
              <c:f>'2017 v 2016'!$H$11:$H$12</c:f>
              <c:numCache>
                <c:formatCode>General</c:formatCode>
                <c:ptCount val="2"/>
                <c:pt idx="0">
                  <c:v>6116</c:v>
                </c:pt>
                <c:pt idx="1">
                  <c:v>4588</c:v>
                </c:pt>
              </c:numCache>
            </c:numRef>
          </c:val>
        </c:ser>
        <c:ser>
          <c:idx val="2"/>
          <c:order val="2"/>
          <c:tx>
            <c:strRef>
              <c:f>'2017 v 2016'!$J$10</c:f>
              <c:strCache>
                <c:ptCount val="1"/>
                <c:pt idx="0">
                  <c:v>1</c:v>
                </c:pt>
              </c:strCache>
            </c:strRef>
          </c:tx>
          <c:invertIfNegative val="0"/>
          <c:cat>
            <c:strRef>
              <c:f>'2017 v 2016'!$G$11:$G$12</c:f>
              <c:strCache>
                <c:ptCount val="2"/>
                <c:pt idx="0">
                  <c:v>1 April -30 Sept 2016</c:v>
                </c:pt>
                <c:pt idx="1">
                  <c:v>1 April -30 Sept 2017</c:v>
                </c:pt>
              </c:strCache>
            </c:strRef>
          </c:cat>
          <c:val>
            <c:numRef>
              <c:f>'2017 v 2016'!$J$11:$J$12</c:f>
              <c:numCache>
                <c:formatCode>General</c:formatCode>
                <c:ptCount val="2"/>
                <c:pt idx="0">
                  <c:v>1E-4</c:v>
                </c:pt>
                <c:pt idx="1">
                  <c:v>1E-4</c:v>
                </c:pt>
              </c:numCache>
            </c:numRef>
          </c:val>
        </c:ser>
        <c:ser>
          <c:idx val="3"/>
          <c:order val="3"/>
          <c:tx>
            <c:strRef>
              <c:f>'2017 v 2016'!$K$10</c:f>
              <c:strCache>
                <c:ptCount val="1"/>
                <c:pt idx="0">
                  <c:v>2</c:v>
                </c:pt>
              </c:strCache>
            </c:strRef>
          </c:tx>
          <c:invertIfNegative val="0"/>
          <c:cat>
            <c:strRef>
              <c:f>'2017 v 2016'!$G$11:$G$12</c:f>
              <c:strCache>
                <c:ptCount val="2"/>
                <c:pt idx="0">
                  <c:v>1 April -30 Sept 2016</c:v>
                </c:pt>
                <c:pt idx="1">
                  <c:v>1 April -30 Sept 2017</c:v>
                </c:pt>
              </c:strCache>
            </c:strRef>
          </c:cat>
          <c:val>
            <c:numRef>
              <c:f>'2017 v 2016'!$K$11:$K$12</c:f>
              <c:numCache>
                <c:formatCode>General</c:formatCode>
                <c:ptCount val="2"/>
                <c:pt idx="0">
                  <c:v>1E-4</c:v>
                </c:pt>
                <c:pt idx="1">
                  <c:v>1E-4</c:v>
                </c:pt>
              </c:numCache>
            </c:numRef>
          </c:val>
        </c:ser>
        <c:dLbls>
          <c:showLegendKey val="0"/>
          <c:showVal val="0"/>
          <c:showCatName val="0"/>
          <c:showSerName val="0"/>
          <c:showPercent val="0"/>
          <c:showBubbleSize val="0"/>
        </c:dLbls>
        <c:gapWidth val="167"/>
        <c:axId val="176138112"/>
        <c:axId val="196097536"/>
      </c:barChart>
      <c:barChart>
        <c:barDir val="col"/>
        <c:grouping val="clustered"/>
        <c:varyColors val="0"/>
        <c:ser>
          <c:idx val="1"/>
          <c:order val="1"/>
          <c:tx>
            <c:strRef>
              <c:f>'2017 v 2016'!$I$10</c:f>
              <c:strCache>
                <c:ptCount val="1"/>
                <c:pt idx="0">
                  <c:v>Income</c:v>
                </c:pt>
              </c:strCache>
            </c:strRef>
          </c:tx>
          <c:invertIfNegative val="0"/>
          <c:dLbls>
            <c:dLbl>
              <c:idx val="0"/>
              <c:layout>
                <c:manualLayout>
                  <c:x val="3.3436638048986146E-2"/>
                  <c:y val="1.2318175467902892E-4"/>
                </c:manualLayout>
              </c:layout>
              <c:showLegendKey val="0"/>
              <c:showVal val="0"/>
              <c:showCatName val="0"/>
              <c:showSerName val="1"/>
              <c:showPercent val="0"/>
              <c:showBubbleSize val="0"/>
            </c:dLbl>
            <c:dLbl>
              <c:idx val="1"/>
              <c:layout>
                <c:manualLayout>
                  <c:x val="2.0512584744633237E-2"/>
                  <c:y val="9.8019627961056538E-5"/>
                </c:manualLayout>
              </c:layout>
              <c:showLegendKey val="0"/>
              <c:showVal val="0"/>
              <c:showCatName val="0"/>
              <c:showSerName val="1"/>
              <c:showPercent val="0"/>
              <c:showBubbleSize val="0"/>
            </c:dLbl>
            <c:txPr>
              <a:bodyPr/>
              <a:lstStyle/>
              <a:p>
                <a:pPr>
                  <a:defRPr sz="800"/>
                </a:pPr>
                <a:endParaRPr lang="en-US"/>
              </a:p>
            </c:txPr>
            <c:showLegendKey val="0"/>
            <c:showVal val="0"/>
            <c:showCatName val="0"/>
            <c:showSerName val="1"/>
            <c:showPercent val="0"/>
            <c:showBubbleSize val="0"/>
            <c:showLeaderLines val="0"/>
          </c:dLbls>
          <c:cat>
            <c:strRef>
              <c:f>'2017 v 2016'!$G$11:$G$12</c:f>
              <c:strCache>
                <c:ptCount val="2"/>
                <c:pt idx="0">
                  <c:v>1 April -30 Sept 2016</c:v>
                </c:pt>
                <c:pt idx="1">
                  <c:v>1 April -30 Sept 2017</c:v>
                </c:pt>
              </c:strCache>
            </c:strRef>
          </c:cat>
          <c:val>
            <c:numRef>
              <c:f>'2017 v 2016'!$I$11:$I$12</c:f>
              <c:numCache>
                <c:formatCode>"£"#,##0</c:formatCode>
                <c:ptCount val="2"/>
                <c:pt idx="0">
                  <c:v>97943.549999998359</c:v>
                </c:pt>
                <c:pt idx="1">
                  <c:v>82038.009999999675</c:v>
                </c:pt>
              </c:numCache>
            </c:numRef>
          </c:val>
        </c:ser>
        <c:dLbls>
          <c:showLegendKey val="0"/>
          <c:showVal val="0"/>
          <c:showCatName val="0"/>
          <c:showSerName val="0"/>
          <c:showPercent val="0"/>
          <c:showBubbleSize val="0"/>
        </c:dLbls>
        <c:gapWidth val="355"/>
        <c:axId val="308698112"/>
        <c:axId val="308695040"/>
      </c:barChart>
      <c:catAx>
        <c:axId val="176138112"/>
        <c:scaling>
          <c:orientation val="minMax"/>
        </c:scaling>
        <c:delete val="0"/>
        <c:axPos val="b"/>
        <c:majorTickMark val="out"/>
        <c:minorTickMark val="none"/>
        <c:tickLblPos val="nextTo"/>
        <c:crossAx val="196097536"/>
        <c:crosses val="autoZero"/>
        <c:auto val="1"/>
        <c:lblAlgn val="ctr"/>
        <c:lblOffset val="100"/>
        <c:noMultiLvlLbl val="0"/>
      </c:catAx>
      <c:valAx>
        <c:axId val="196097536"/>
        <c:scaling>
          <c:orientation val="minMax"/>
        </c:scaling>
        <c:delete val="0"/>
        <c:axPos val="l"/>
        <c:majorGridlines/>
        <c:title>
          <c:tx>
            <c:rich>
              <a:bodyPr rot="-5400000" vert="horz"/>
              <a:lstStyle/>
              <a:p>
                <a:pPr>
                  <a:defRPr/>
                </a:pPr>
                <a:r>
                  <a:rPr lang="en-US"/>
                  <a:t>No. lets</a:t>
                </a:r>
              </a:p>
            </c:rich>
          </c:tx>
          <c:overlay val="0"/>
        </c:title>
        <c:numFmt formatCode="General" sourceLinked="1"/>
        <c:majorTickMark val="out"/>
        <c:minorTickMark val="none"/>
        <c:tickLblPos val="nextTo"/>
        <c:crossAx val="176138112"/>
        <c:crosses val="autoZero"/>
        <c:crossBetween val="between"/>
      </c:valAx>
      <c:valAx>
        <c:axId val="308695040"/>
        <c:scaling>
          <c:orientation val="minMax"/>
          <c:min val="0"/>
        </c:scaling>
        <c:delete val="0"/>
        <c:axPos val="r"/>
        <c:title>
          <c:tx>
            <c:rich>
              <a:bodyPr rot="-5400000" vert="horz"/>
              <a:lstStyle/>
              <a:p>
                <a:pPr>
                  <a:defRPr/>
                </a:pPr>
                <a:r>
                  <a:rPr lang="en-US"/>
                  <a:t>Income</a:t>
                </a:r>
              </a:p>
            </c:rich>
          </c:tx>
          <c:overlay val="0"/>
        </c:title>
        <c:numFmt formatCode="&quot;£&quot;#,##0" sourceLinked="1"/>
        <c:majorTickMark val="out"/>
        <c:minorTickMark val="none"/>
        <c:tickLblPos val="nextTo"/>
        <c:crossAx val="308698112"/>
        <c:crosses val="max"/>
        <c:crossBetween val="between"/>
      </c:valAx>
      <c:catAx>
        <c:axId val="308698112"/>
        <c:scaling>
          <c:orientation val="minMax"/>
        </c:scaling>
        <c:delete val="1"/>
        <c:axPos val="b"/>
        <c:majorTickMark val="out"/>
        <c:minorTickMark val="none"/>
        <c:tickLblPos val="nextTo"/>
        <c:crossAx val="308695040"/>
        <c:crosses val="autoZero"/>
        <c:auto val="1"/>
        <c:lblAlgn val="ctr"/>
        <c:lblOffset val="100"/>
        <c:noMultiLvlLbl val="0"/>
      </c:cat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GB" sz="1400"/>
              <a:t>1hr All Weather Pitch / Semi-commercial</a:t>
            </a:r>
          </a:p>
        </c:rich>
      </c:tx>
      <c:layout>
        <c:manualLayout>
          <c:xMode val="edge"/>
          <c:yMode val="edge"/>
          <c:x val="0.19522922134733162"/>
          <c:y val="2.7777777777777776E-2"/>
        </c:manualLayout>
      </c:layout>
      <c:overlay val="0"/>
    </c:title>
    <c:autoTitleDeleted val="0"/>
    <c:plotArea>
      <c:layout/>
      <c:barChart>
        <c:barDir val="col"/>
        <c:grouping val="clustered"/>
        <c:varyColors val="0"/>
        <c:ser>
          <c:idx val="0"/>
          <c:order val="0"/>
          <c:tx>
            <c:strRef>
              <c:f>'All Weather pitch semi comm.'!$A$3</c:f>
              <c:strCache>
                <c:ptCount val="1"/>
                <c:pt idx="0">
                  <c:v>Options 1&amp;2</c:v>
                </c:pt>
              </c:strCache>
            </c:strRef>
          </c:tx>
          <c:invertIfNegative val="0"/>
          <c:cat>
            <c:strRef>
              <c:f>'All Weather pitch semi comm.'!$B$2:$G$2</c:f>
              <c:strCache>
                <c:ptCount val="6"/>
                <c:pt idx="0">
                  <c:v>17/18</c:v>
                </c:pt>
                <c:pt idx="1">
                  <c:v>18/19</c:v>
                </c:pt>
                <c:pt idx="2">
                  <c:v>19/20</c:v>
                </c:pt>
                <c:pt idx="3">
                  <c:v>20/21</c:v>
                </c:pt>
                <c:pt idx="4">
                  <c:v>21/22</c:v>
                </c:pt>
                <c:pt idx="5">
                  <c:v>22/23</c:v>
                </c:pt>
              </c:strCache>
            </c:strRef>
          </c:cat>
          <c:val>
            <c:numRef>
              <c:f>'All Weather pitch semi comm.'!$B$3:$G$3</c:f>
              <c:numCache>
                <c:formatCode>"£"#,##0.00_);[Red]\("£"#,##0.00\)</c:formatCode>
                <c:ptCount val="6"/>
                <c:pt idx="0" formatCode="&quot;£&quot;#,##0.00">
                  <c:v>35.950000000000003</c:v>
                </c:pt>
                <c:pt idx="1">
                  <c:v>35.200000000000003</c:v>
                </c:pt>
                <c:pt idx="2">
                  <c:v>37</c:v>
                </c:pt>
                <c:pt idx="3">
                  <c:v>38.85</c:v>
                </c:pt>
                <c:pt idx="4">
                  <c:v>40.800000000000004</c:v>
                </c:pt>
                <c:pt idx="5">
                  <c:v>42.85</c:v>
                </c:pt>
              </c:numCache>
            </c:numRef>
          </c:val>
        </c:ser>
        <c:ser>
          <c:idx val="1"/>
          <c:order val="1"/>
          <c:tx>
            <c:strRef>
              <c:f>'All Weather pitch semi comm.'!$A$4</c:f>
              <c:strCache>
                <c:ptCount val="1"/>
                <c:pt idx="0">
                  <c:v>Option 3</c:v>
                </c:pt>
              </c:strCache>
            </c:strRef>
          </c:tx>
          <c:invertIfNegative val="0"/>
          <c:cat>
            <c:strRef>
              <c:f>'All Weather pitch semi comm.'!$B$2:$G$2</c:f>
              <c:strCache>
                <c:ptCount val="6"/>
                <c:pt idx="0">
                  <c:v>17/18</c:v>
                </c:pt>
                <c:pt idx="1">
                  <c:v>18/19</c:v>
                </c:pt>
                <c:pt idx="2">
                  <c:v>19/20</c:v>
                </c:pt>
                <c:pt idx="3">
                  <c:v>20/21</c:v>
                </c:pt>
                <c:pt idx="4">
                  <c:v>21/22</c:v>
                </c:pt>
                <c:pt idx="5">
                  <c:v>22/23</c:v>
                </c:pt>
              </c:strCache>
            </c:strRef>
          </c:cat>
          <c:val>
            <c:numRef>
              <c:f>'All Weather pitch semi comm.'!$B$4:$G$4</c:f>
              <c:numCache>
                <c:formatCode>"£"#,##0.00_);[Red]\("£"#,##0.00\)</c:formatCode>
                <c:ptCount val="6"/>
                <c:pt idx="0">
                  <c:v>35.950000000000003</c:v>
                </c:pt>
                <c:pt idx="1">
                  <c:v>36.85</c:v>
                </c:pt>
                <c:pt idx="2">
                  <c:v>40.550000000000004</c:v>
                </c:pt>
                <c:pt idx="3">
                  <c:v>44.650000000000006</c:v>
                </c:pt>
                <c:pt idx="4">
                  <c:v>49.150000000000006</c:v>
                </c:pt>
                <c:pt idx="5">
                  <c:v>54.1</c:v>
                </c:pt>
              </c:numCache>
            </c:numRef>
          </c:val>
        </c:ser>
        <c:ser>
          <c:idx val="2"/>
          <c:order val="2"/>
          <c:tx>
            <c:strRef>
              <c:f>'All Weather pitch semi comm.'!$A$6</c:f>
              <c:strCache>
                <c:ptCount val="1"/>
                <c:pt idx="0">
                  <c:v>Option 4</c:v>
                </c:pt>
              </c:strCache>
            </c:strRef>
          </c:tx>
          <c:spPr>
            <a:solidFill>
              <a:srgbClr val="FFC000"/>
            </a:solidFill>
          </c:spPr>
          <c:invertIfNegative val="0"/>
          <c:cat>
            <c:strRef>
              <c:f>'All Weather pitch semi comm.'!$B$2:$G$2</c:f>
              <c:strCache>
                <c:ptCount val="6"/>
                <c:pt idx="0">
                  <c:v>17/18</c:v>
                </c:pt>
                <c:pt idx="1">
                  <c:v>18/19</c:v>
                </c:pt>
                <c:pt idx="2">
                  <c:v>19/20</c:v>
                </c:pt>
                <c:pt idx="3">
                  <c:v>20/21</c:v>
                </c:pt>
                <c:pt idx="4">
                  <c:v>21/22</c:v>
                </c:pt>
                <c:pt idx="5">
                  <c:v>22/23</c:v>
                </c:pt>
              </c:strCache>
            </c:strRef>
          </c:cat>
          <c:val>
            <c:numRef>
              <c:f>'All Weather pitch semi comm.'!$B$5:$G$5</c:f>
              <c:numCache>
                <c:formatCode>"£"#,##0.00_);[Red]\("£"#,##0.00\)</c:formatCode>
                <c:ptCount val="6"/>
                <c:pt idx="0" formatCode="&quot;£&quot;#,##0.00">
                  <c:v>35.950000000000003</c:v>
                </c:pt>
                <c:pt idx="1">
                  <c:v>46.6</c:v>
                </c:pt>
                <c:pt idx="2">
                  <c:v>51.300000000000004</c:v>
                </c:pt>
                <c:pt idx="3">
                  <c:v>56.45</c:v>
                </c:pt>
                <c:pt idx="4">
                  <c:v>62.1</c:v>
                </c:pt>
                <c:pt idx="5">
                  <c:v>68.350000000000009</c:v>
                </c:pt>
              </c:numCache>
            </c:numRef>
          </c:val>
        </c:ser>
        <c:dLbls>
          <c:showLegendKey val="0"/>
          <c:showVal val="0"/>
          <c:showCatName val="0"/>
          <c:showSerName val="0"/>
          <c:showPercent val="0"/>
          <c:showBubbleSize val="0"/>
        </c:dLbls>
        <c:gapWidth val="150"/>
        <c:axId val="309278208"/>
        <c:axId val="309280128"/>
      </c:barChart>
      <c:catAx>
        <c:axId val="309278208"/>
        <c:scaling>
          <c:orientation val="minMax"/>
        </c:scaling>
        <c:delete val="0"/>
        <c:axPos val="b"/>
        <c:majorTickMark val="out"/>
        <c:minorTickMark val="none"/>
        <c:tickLblPos val="nextTo"/>
        <c:crossAx val="309280128"/>
        <c:crosses val="autoZero"/>
        <c:auto val="1"/>
        <c:lblAlgn val="ctr"/>
        <c:lblOffset val="100"/>
        <c:noMultiLvlLbl val="0"/>
      </c:catAx>
      <c:valAx>
        <c:axId val="309280128"/>
        <c:scaling>
          <c:orientation val="minMax"/>
          <c:max val="90"/>
        </c:scaling>
        <c:delete val="0"/>
        <c:axPos val="l"/>
        <c:majorGridlines/>
        <c:numFmt formatCode="&quot;£&quot;#,##0.00" sourceLinked="1"/>
        <c:majorTickMark val="out"/>
        <c:minorTickMark val="none"/>
        <c:tickLblPos val="nextTo"/>
        <c:crossAx val="30927820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GB" sz="1400"/>
              <a:t>2hr Meeting Room / Community</a:t>
            </a:r>
          </a:p>
        </c:rich>
      </c:tx>
      <c:overlay val="0"/>
    </c:title>
    <c:autoTitleDeleted val="0"/>
    <c:plotArea>
      <c:layout/>
      <c:barChart>
        <c:barDir val="col"/>
        <c:grouping val="clustered"/>
        <c:varyColors val="0"/>
        <c:ser>
          <c:idx val="0"/>
          <c:order val="0"/>
          <c:tx>
            <c:strRef>
              <c:f>'Meeting room 2hr'!$A$3</c:f>
              <c:strCache>
                <c:ptCount val="1"/>
                <c:pt idx="0">
                  <c:v>Options 1&amp;2</c:v>
                </c:pt>
              </c:strCache>
            </c:strRef>
          </c:tx>
          <c:invertIfNegative val="0"/>
          <c:cat>
            <c:strRef>
              <c:f>'Meeting room 2hr'!$B$2:$G$2</c:f>
              <c:strCache>
                <c:ptCount val="6"/>
                <c:pt idx="0">
                  <c:v>17/18</c:v>
                </c:pt>
                <c:pt idx="1">
                  <c:v>18/19</c:v>
                </c:pt>
                <c:pt idx="2">
                  <c:v>19/20</c:v>
                </c:pt>
                <c:pt idx="3">
                  <c:v>20/21</c:v>
                </c:pt>
                <c:pt idx="4">
                  <c:v>21/22</c:v>
                </c:pt>
                <c:pt idx="5">
                  <c:v>22/23</c:v>
                </c:pt>
              </c:strCache>
            </c:strRef>
          </c:cat>
          <c:val>
            <c:numRef>
              <c:f>'Meeting room 2hr'!$B$4:$G$4</c:f>
              <c:numCache>
                <c:formatCode>"£"#,##0.00</c:formatCode>
                <c:ptCount val="6"/>
                <c:pt idx="0">
                  <c:v>10.35</c:v>
                </c:pt>
                <c:pt idx="1">
                  <c:v>21.8</c:v>
                </c:pt>
                <c:pt idx="2">
                  <c:v>22.900000000000002</c:v>
                </c:pt>
                <c:pt idx="3">
                  <c:v>24.1</c:v>
                </c:pt>
                <c:pt idx="4">
                  <c:v>25.400000000000002</c:v>
                </c:pt>
                <c:pt idx="5">
                  <c:v>26.700000000000003</c:v>
                </c:pt>
              </c:numCache>
            </c:numRef>
          </c:val>
        </c:ser>
        <c:ser>
          <c:idx val="1"/>
          <c:order val="1"/>
          <c:tx>
            <c:strRef>
              <c:f>'Meeting room 2hr'!$A$5</c:f>
              <c:strCache>
                <c:ptCount val="1"/>
                <c:pt idx="0">
                  <c:v>Option 3</c:v>
                </c:pt>
              </c:strCache>
            </c:strRef>
          </c:tx>
          <c:invertIfNegative val="0"/>
          <c:cat>
            <c:strRef>
              <c:f>'Meeting room 2hr'!$B$2:$G$2</c:f>
              <c:strCache>
                <c:ptCount val="6"/>
                <c:pt idx="0">
                  <c:v>17/18</c:v>
                </c:pt>
                <c:pt idx="1">
                  <c:v>18/19</c:v>
                </c:pt>
                <c:pt idx="2">
                  <c:v>19/20</c:v>
                </c:pt>
                <c:pt idx="3">
                  <c:v>20/21</c:v>
                </c:pt>
                <c:pt idx="4">
                  <c:v>21/22</c:v>
                </c:pt>
                <c:pt idx="5">
                  <c:v>22/23</c:v>
                </c:pt>
              </c:strCache>
            </c:strRef>
          </c:cat>
          <c:val>
            <c:numRef>
              <c:f>'Meeting room 2hr'!$B$6:$G$6</c:f>
              <c:numCache>
                <c:formatCode>"£"#,##0.00</c:formatCode>
                <c:ptCount val="6"/>
                <c:pt idx="0">
                  <c:v>10.35</c:v>
                </c:pt>
                <c:pt idx="1">
                  <c:v>22.8</c:v>
                </c:pt>
                <c:pt idx="2">
                  <c:v>25.1</c:v>
                </c:pt>
                <c:pt idx="3">
                  <c:v>27.700000000000003</c:v>
                </c:pt>
                <c:pt idx="4">
                  <c:v>30.5</c:v>
                </c:pt>
                <c:pt idx="5">
                  <c:v>33.6</c:v>
                </c:pt>
              </c:numCache>
            </c:numRef>
          </c:val>
        </c:ser>
        <c:ser>
          <c:idx val="2"/>
          <c:order val="2"/>
          <c:tx>
            <c:strRef>
              <c:f>'Meeting room 2hr'!$A$7</c:f>
              <c:strCache>
                <c:ptCount val="1"/>
                <c:pt idx="0">
                  <c:v>Option 4</c:v>
                </c:pt>
              </c:strCache>
            </c:strRef>
          </c:tx>
          <c:spPr>
            <a:solidFill>
              <a:srgbClr val="FFC000"/>
            </a:solidFill>
          </c:spPr>
          <c:invertIfNegative val="0"/>
          <c:cat>
            <c:strRef>
              <c:f>'Meeting room 2hr'!$B$2:$G$2</c:f>
              <c:strCache>
                <c:ptCount val="6"/>
                <c:pt idx="0">
                  <c:v>17/18</c:v>
                </c:pt>
                <c:pt idx="1">
                  <c:v>18/19</c:v>
                </c:pt>
                <c:pt idx="2">
                  <c:v>19/20</c:v>
                </c:pt>
                <c:pt idx="3">
                  <c:v>20/21</c:v>
                </c:pt>
                <c:pt idx="4">
                  <c:v>21/22</c:v>
                </c:pt>
                <c:pt idx="5">
                  <c:v>22/23</c:v>
                </c:pt>
              </c:strCache>
            </c:strRef>
          </c:cat>
          <c:val>
            <c:numRef>
              <c:f>'Meeting room 2hr'!$B$8:$G$8</c:f>
              <c:numCache>
                <c:formatCode>"£"#,##0.00</c:formatCode>
                <c:ptCount val="6"/>
                <c:pt idx="0">
                  <c:v>10.35</c:v>
                </c:pt>
                <c:pt idx="1">
                  <c:v>28.8</c:v>
                </c:pt>
                <c:pt idx="2">
                  <c:v>31.700000000000003</c:v>
                </c:pt>
                <c:pt idx="3">
                  <c:v>34.9</c:v>
                </c:pt>
                <c:pt idx="4">
                  <c:v>38.400000000000006</c:v>
                </c:pt>
                <c:pt idx="5">
                  <c:v>42.300000000000004</c:v>
                </c:pt>
              </c:numCache>
            </c:numRef>
          </c:val>
        </c:ser>
        <c:dLbls>
          <c:showLegendKey val="0"/>
          <c:showVal val="0"/>
          <c:showCatName val="0"/>
          <c:showSerName val="0"/>
          <c:showPercent val="0"/>
          <c:showBubbleSize val="0"/>
        </c:dLbls>
        <c:gapWidth val="150"/>
        <c:axId val="27989120"/>
        <c:axId val="27990656"/>
      </c:barChart>
      <c:catAx>
        <c:axId val="27989120"/>
        <c:scaling>
          <c:orientation val="minMax"/>
        </c:scaling>
        <c:delete val="0"/>
        <c:axPos val="b"/>
        <c:majorTickMark val="out"/>
        <c:minorTickMark val="none"/>
        <c:tickLblPos val="nextTo"/>
        <c:crossAx val="27990656"/>
        <c:crosses val="autoZero"/>
        <c:auto val="1"/>
        <c:lblAlgn val="ctr"/>
        <c:lblOffset val="100"/>
        <c:noMultiLvlLbl val="0"/>
      </c:catAx>
      <c:valAx>
        <c:axId val="27990656"/>
        <c:scaling>
          <c:orientation val="minMax"/>
          <c:max val="90"/>
        </c:scaling>
        <c:delete val="0"/>
        <c:axPos val="l"/>
        <c:majorGridlines/>
        <c:numFmt formatCode="&quot;£&quot;#,##0.00" sourceLinked="1"/>
        <c:majorTickMark val="out"/>
        <c:minorTickMark val="none"/>
        <c:tickLblPos val="nextTo"/>
        <c:crossAx val="2798912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strRef>
          <c:f>'Uniformed Small hall'!$A$1</c:f>
          <c:strCache>
            <c:ptCount val="1"/>
            <c:pt idx="0">
              <c:v>1hr Small Hall/ Community (Discounted)
Uniformed Group</c:v>
            </c:pt>
          </c:strCache>
        </c:strRef>
      </c:tx>
      <c:overlay val="0"/>
      <c:txPr>
        <a:bodyPr/>
        <a:lstStyle/>
        <a:p>
          <a:pPr>
            <a:defRPr sz="1400"/>
          </a:pPr>
          <a:endParaRPr lang="en-US"/>
        </a:p>
      </c:txPr>
    </c:title>
    <c:autoTitleDeleted val="0"/>
    <c:plotArea>
      <c:layout/>
      <c:barChart>
        <c:barDir val="col"/>
        <c:grouping val="clustered"/>
        <c:varyColors val="0"/>
        <c:ser>
          <c:idx val="0"/>
          <c:order val="0"/>
          <c:tx>
            <c:strRef>
              <c:f>'Uniformed Small hall'!$A$3</c:f>
              <c:strCache>
                <c:ptCount val="1"/>
                <c:pt idx="0">
                  <c:v>Options 1&amp;2</c:v>
                </c:pt>
              </c:strCache>
            </c:strRef>
          </c:tx>
          <c:invertIfNegative val="0"/>
          <c:cat>
            <c:strRef>
              <c:f>'Uniformed Small hall'!$B$2:$G$2</c:f>
              <c:strCache>
                <c:ptCount val="6"/>
                <c:pt idx="0">
                  <c:v>17/18</c:v>
                </c:pt>
                <c:pt idx="1">
                  <c:v>18/19</c:v>
                </c:pt>
                <c:pt idx="2">
                  <c:v>19/20</c:v>
                </c:pt>
                <c:pt idx="3">
                  <c:v>20/21</c:v>
                </c:pt>
                <c:pt idx="4">
                  <c:v>21/22</c:v>
                </c:pt>
                <c:pt idx="5">
                  <c:v>22/23</c:v>
                </c:pt>
              </c:strCache>
            </c:strRef>
          </c:cat>
          <c:val>
            <c:numRef>
              <c:f>'Uniformed Small hall'!$B$4:$G$4</c:f>
              <c:numCache>
                <c:formatCode>"£"#,##0.00</c:formatCode>
                <c:ptCount val="6"/>
                <c:pt idx="0">
                  <c:v>0</c:v>
                </c:pt>
                <c:pt idx="1">
                  <c:v>8.7000000000000011</c:v>
                </c:pt>
                <c:pt idx="2">
                  <c:v>9.15</c:v>
                </c:pt>
                <c:pt idx="3">
                  <c:v>9.6000000000000014</c:v>
                </c:pt>
                <c:pt idx="4">
                  <c:v>10.100000000000001</c:v>
                </c:pt>
                <c:pt idx="5">
                  <c:v>10.65</c:v>
                </c:pt>
              </c:numCache>
            </c:numRef>
          </c:val>
        </c:ser>
        <c:ser>
          <c:idx val="1"/>
          <c:order val="1"/>
          <c:tx>
            <c:strRef>
              <c:f>'Uniformed Small hall'!$A$5</c:f>
              <c:strCache>
                <c:ptCount val="1"/>
                <c:pt idx="0">
                  <c:v>Option 3</c:v>
                </c:pt>
              </c:strCache>
            </c:strRef>
          </c:tx>
          <c:invertIfNegative val="0"/>
          <c:cat>
            <c:strRef>
              <c:f>'Uniformed Small hall'!$B$2:$G$2</c:f>
              <c:strCache>
                <c:ptCount val="6"/>
                <c:pt idx="0">
                  <c:v>17/18</c:v>
                </c:pt>
                <c:pt idx="1">
                  <c:v>18/19</c:v>
                </c:pt>
                <c:pt idx="2">
                  <c:v>19/20</c:v>
                </c:pt>
                <c:pt idx="3">
                  <c:v>20/21</c:v>
                </c:pt>
                <c:pt idx="4">
                  <c:v>21/22</c:v>
                </c:pt>
                <c:pt idx="5">
                  <c:v>22/23</c:v>
                </c:pt>
              </c:strCache>
            </c:strRef>
          </c:cat>
          <c:val>
            <c:numRef>
              <c:f>'Uniformed Small hall'!$B$6:$G$6</c:f>
              <c:numCache>
                <c:formatCode>"£"#,##0.00</c:formatCode>
                <c:ptCount val="6"/>
                <c:pt idx="0">
                  <c:v>0</c:v>
                </c:pt>
                <c:pt idx="1">
                  <c:v>9.1</c:v>
                </c:pt>
                <c:pt idx="2">
                  <c:v>10</c:v>
                </c:pt>
                <c:pt idx="3">
                  <c:v>11</c:v>
                </c:pt>
                <c:pt idx="4">
                  <c:v>12.100000000000001</c:v>
                </c:pt>
                <c:pt idx="5">
                  <c:v>13.350000000000001</c:v>
                </c:pt>
              </c:numCache>
            </c:numRef>
          </c:val>
        </c:ser>
        <c:ser>
          <c:idx val="2"/>
          <c:order val="2"/>
          <c:tx>
            <c:strRef>
              <c:f>'Uniformed Small hall'!$A$7</c:f>
              <c:strCache>
                <c:ptCount val="1"/>
                <c:pt idx="0">
                  <c:v>Option 4</c:v>
                </c:pt>
              </c:strCache>
            </c:strRef>
          </c:tx>
          <c:spPr>
            <a:solidFill>
              <a:srgbClr val="FFC000"/>
            </a:solidFill>
          </c:spPr>
          <c:invertIfNegative val="0"/>
          <c:cat>
            <c:strRef>
              <c:f>'Uniformed Small hall'!$B$2:$G$2</c:f>
              <c:strCache>
                <c:ptCount val="6"/>
                <c:pt idx="0">
                  <c:v>17/18</c:v>
                </c:pt>
                <c:pt idx="1">
                  <c:v>18/19</c:v>
                </c:pt>
                <c:pt idx="2">
                  <c:v>19/20</c:v>
                </c:pt>
                <c:pt idx="3">
                  <c:v>20/21</c:v>
                </c:pt>
                <c:pt idx="4">
                  <c:v>21/22</c:v>
                </c:pt>
                <c:pt idx="5">
                  <c:v>22/23</c:v>
                </c:pt>
              </c:strCache>
            </c:strRef>
          </c:cat>
          <c:val>
            <c:numRef>
              <c:f>'Uniformed Small hall'!$B$8:$G$8</c:f>
              <c:numCache>
                <c:formatCode>"£"#,##0.00</c:formatCode>
                <c:ptCount val="6"/>
                <c:pt idx="0">
                  <c:v>0</c:v>
                </c:pt>
                <c:pt idx="1">
                  <c:v>11.5</c:v>
                </c:pt>
                <c:pt idx="2">
                  <c:v>12.65</c:v>
                </c:pt>
                <c:pt idx="3">
                  <c:v>13.9</c:v>
                </c:pt>
                <c:pt idx="4">
                  <c:v>15.3</c:v>
                </c:pt>
                <c:pt idx="5">
                  <c:v>16.850000000000001</c:v>
                </c:pt>
              </c:numCache>
            </c:numRef>
          </c:val>
        </c:ser>
        <c:dLbls>
          <c:showLegendKey val="0"/>
          <c:showVal val="0"/>
          <c:showCatName val="0"/>
          <c:showSerName val="0"/>
          <c:showPercent val="0"/>
          <c:showBubbleSize val="0"/>
        </c:dLbls>
        <c:gapWidth val="150"/>
        <c:axId val="28017024"/>
        <c:axId val="28018560"/>
      </c:barChart>
      <c:catAx>
        <c:axId val="28017024"/>
        <c:scaling>
          <c:orientation val="minMax"/>
        </c:scaling>
        <c:delete val="0"/>
        <c:axPos val="b"/>
        <c:majorTickMark val="out"/>
        <c:minorTickMark val="none"/>
        <c:tickLblPos val="nextTo"/>
        <c:crossAx val="28018560"/>
        <c:crosses val="autoZero"/>
        <c:auto val="1"/>
        <c:lblAlgn val="ctr"/>
        <c:lblOffset val="100"/>
        <c:noMultiLvlLbl val="0"/>
      </c:catAx>
      <c:valAx>
        <c:axId val="28018560"/>
        <c:scaling>
          <c:orientation val="minMax"/>
          <c:max val="90"/>
        </c:scaling>
        <c:delete val="0"/>
        <c:axPos val="l"/>
        <c:majorGridlines/>
        <c:numFmt formatCode="&quot;£&quot;#,##0.00" sourceLinked="1"/>
        <c:majorTickMark val="out"/>
        <c:minorTickMark val="none"/>
        <c:tickLblPos val="nextTo"/>
        <c:crossAx val="280170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85C45-62A0-4747-A946-2FBC96C1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6469</Words>
  <Characters>36876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43259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Tomalin</dc:creator>
  <cp:lastModifiedBy>Carron McDiarmid</cp:lastModifiedBy>
  <cp:revision>2</cp:revision>
  <cp:lastPrinted>2017-10-06T07:37:00Z</cp:lastPrinted>
  <dcterms:created xsi:type="dcterms:W3CDTF">2017-10-09T12:21:00Z</dcterms:created>
  <dcterms:modified xsi:type="dcterms:W3CDTF">2017-10-09T12:21:00Z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-266853613</vt:i4>
  </property>
  <property fmtid="{D5CDD505-2E9C-101B-9397-08002B2CF9AE}" pid="3" name="_NewReviewCycle">
    <vt:lpwstr/>
  </property>
  <property fmtid="{D5CDD505-2E9C-101B-9397-08002B2CF9AE}" pid="4" name="_EmailSubject">
    <vt:lpwstr>Redesign page on intranet</vt:lpwstr>
  </property>
  <property fmtid="{D5CDD505-2E9C-101B-9397-08002B2CF9AE}" pid="5" name="_AuthorEmail">
    <vt:lpwstr>carron.mcdiarmid@highland.gov.uk</vt:lpwstr>
  </property>
  <property fmtid="{D5CDD505-2E9C-101B-9397-08002B2CF9AE}" pid="6" name="_AuthorEmailDisplayName">
    <vt:lpwstr>Carron McDiarmid</vt:lpwstr>
  </property>
  <property fmtid="{D5CDD505-2E9C-101B-9397-08002B2CF9AE}" pid="8" name="_PreviousAdHocReviewCycleID">
    <vt:i4>1308764053</vt:i4>
  </property>
</Properties>
</file>