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6F" w:rsidRPr="00116CA0" w:rsidRDefault="001E316F" w:rsidP="00F64A84">
      <w:pPr>
        <w:jc w:val="both"/>
        <w:rPr>
          <w:rFonts w:ascii="Arial" w:hAnsi="Arial" w:cs="Arial"/>
          <w:b/>
        </w:rPr>
      </w:pPr>
      <w:bookmarkStart w:id="0" w:name="_GoBack"/>
      <w:bookmarkEnd w:id="0"/>
      <w:r w:rsidRPr="00116CA0">
        <w:rPr>
          <w:rFonts w:ascii="Arial" w:hAnsi="Arial" w:cs="Arial"/>
          <w:b/>
        </w:rPr>
        <w:t>The Highland Council</w:t>
      </w:r>
    </w:p>
    <w:p w:rsidR="001364A5" w:rsidRPr="00116CA0" w:rsidRDefault="001E316F" w:rsidP="00F64A84">
      <w:pPr>
        <w:jc w:val="both"/>
        <w:rPr>
          <w:rFonts w:ascii="Arial" w:hAnsi="Arial" w:cs="Arial"/>
          <w:b/>
        </w:rPr>
      </w:pPr>
      <w:r w:rsidRPr="00116CA0">
        <w:rPr>
          <w:rFonts w:ascii="Arial" w:hAnsi="Arial" w:cs="Arial"/>
          <w:b/>
        </w:rPr>
        <w:t xml:space="preserve">Redesign Board:  </w:t>
      </w:r>
      <w:r w:rsidR="0056624B" w:rsidRPr="00116CA0">
        <w:rPr>
          <w:rFonts w:ascii="Arial" w:hAnsi="Arial" w:cs="Arial"/>
          <w:b/>
        </w:rPr>
        <w:t xml:space="preserve">Grey Fleet </w:t>
      </w:r>
      <w:proofErr w:type="gramStart"/>
      <w:r w:rsidR="0056624B" w:rsidRPr="00116CA0">
        <w:rPr>
          <w:rFonts w:ascii="Arial" w:hAnsi="Arial" w:cs="Arial"/>
          <w:b/>
        </w:rPr>
        <w:t>Review</w:t>
      </w:r>
      <w:r w:rsidR="000E09D8" w:rsidRPr="00116CA0">
        <w:rPr>
          <w:rFonts w:ascii="Arial" w:hAnsi="Arial" w:cs="Arial"/>
          <w:b/>
        </w:rPr>
        <w:t xml:space="preserve">  10</w:t>
      </w:r>
      <w:proofErr w:type="gramEnd"/>
      <w:r w:rsidR="000E09D8" w:rsidRPr="00116CA0">
        <w:rPr>
          <w:rFonts w:ascii="Arial" w:hAnsi="Arial" w:cs="Arial"/>
          <w:b/>
        </w:rPr>
        <w:t xml:space="preserve"> October 2017</w:t>
      </w:r>
    </w:p>
    <w:p w:rsidR="001E316F" w:rsidRPr="00116CA0" w:rsidRDefault="001E316F" w:rsidP="00F64A84">
      <w:pPr>
        <w:jc w:val="both"/>
        <w:rPr>
          <w:rFonts w:ascii="Arial" w:hAnsi="Arial" w:cs="Arial"/>
          <w:b/>
        </w:rPr>
      </w:pPr>
      <w:r w:rsidRPr="00116CA0">
        <w:rPr>
          <w:rFonts w:ascii="Arial" w:hAnsi="Arial" w:cs="Arial"/>
          <w:b/>
        </w:rPr>
        <w:t>SCOPE</w:t>
      </w:r>
    </w:p>
    <w:p w:rsidR="00A77016" w:rsidRPr="00116CA0" w:rsidRDefault="009E5DFF" w:rsidP="00F64A84">
      <w:pPr>
        <w:jc w:val="both"/>
        <w:rPr>
          <w:rFonts w:ascii="Arial" w:hAnsi="Arial" w:cs="Arial"/>
        </w:rPr>
      </w:pPr>
      <w:r w:rsidRPr="00116CA0">
        <w:rPr>
          <w:rFonts w:ascii="Arial" w:hAnsi="Arial" w:cs="Arial"/>
        </w:rPr>
        <w:t xml:space="preserve">1. </w:t>
      </w:r>
      <w:r w:rsidR="004918E7" w:rsidRPr="00116CA0">
        <w:rPr>
          <w:rFonts w:ascii="Arial" w:hAnsi="Arial" w:cs="Arial"/>
          <w:b/>
        </w:rPr>
        <w:t xml:space="preserve">Definition </w:t>
      </w:r>
    </w:p>
    <w:p w:rsidR="00A77016" w:rsidRPr="00116CA0" w:rsidRDefault="001E316F" w:rsidP="00F64A84">
      <w:pPr>
        <w:jc w:val="both"/>
        <w:rPr>
          <w:rFonts w:ascii="Arial" w:hAnsi="Arial" w:cs="Arial"/>
        </w:rPr>
      </w:pPr>
      <w:r w:rsidRPr="00116CA0">
        <w:rPr>
          <w:rFonts w:ascii="Arial" w:hAnsi="Arial" w:cs="Arial"/>
        </w:rPr>
        <w:t>An organisation’s</w:t>
      </w:r>
      <w:r w:rsidR="004918E7" w:rsidRPr="00116CA0">
        <w:rPr>
          <w:rFonts w:ascii="Arial" w:hAnsi="Arial" w:cs="Arial"/>
        </w:rPr>
        <w:t xml:space="preserve"> grey fleet are all vehicles, owned by its employees, which those employees use for business purposes. Grey fleet travel refers to mileage in employee-owned vehicles making journeys for business purposes.  </w:t>
      </w:r>
    </w:p>
    <w:p w:rsidR="004918E7" w:rsidRPr="00116CA0" w:rsidRDefault="009E5DFF" w:rsidP="00F64A84">
      <w:pPr>
        <w:jc w:val="both"/>
        <w:rPr>
          <w:rFonts w:ascii="Arial" w:hAnsi="Arial" w:cs="Arial"/>
          <w:b/>
        </w:rPr>
      </w:pPr>
      <w:r w:rsidRPr="00116CA0">
        <w:rPr>
          <w:rFonts w:ascii="Arial" w:hAnsi="Arial" w:cs="Arial"/>
          <w:b/>
        </w:rPr>
        <w:t xml:space="preserve">2. </w:t>
      </w:r>
      <w:r w:rsidR="004918E7" w:rsidRPr="00116CA0">
        <w:rPr>
          <w:rFonts w:ascii="Arial" w:hAnsi="Arial" w:cs="Arial"/>
          <w:b/>
        </w:rPr>
        <w:t>Background</w:t>
      </w:r>
    </w:p>
    <w:p w:rsidR="00C64F3D" w:rsidRPr="00116CA0" w:rsidRDefault="00C64F3D" w:rsidP="00F64A84">
      <w:pPr>
        <w:jc w:val="both"/>
        <w:rPr>
          <w:rFonts w:ascii="Arial" w:hAnsi="Arial" w:cs="Arial"/>
        </w:rPr>
      </w:pPr>
      <w:r w:rsidRPr="00116CA0">
        <w:rPr>
          <w:rFonts w:ascii="Arial" w:hAnsi="Arial" w:cs="Arial"/>
        </w:rPr>
        <w:t>The Council has three categories of fleet:</w:t>
      </w:r>
    </w:p>
    <w:p w:rsidR="00C64F3D" w:rsidRPr="00116CA0" w:rsidRDefault="00C64F3D" w:rsidP="00131FC2">
      <w:pPr>
        <w:pStyle w:val="ListParagraph"/>
        <w:numPr>
          <w:ilvl w:val="0"/>
          <w:numId w:val="11"/>
        </w:numPr>
        <w:jc w:val="both"/>
        <w:rPr>
          <w:rFonts w:ascii="Arial" w:hAnsi="Arial" w:cs="Arial"/>
        </w:rPr>
      </w:pPr>
      <w:r w:rsidRPr="00116CA0">
        <w:rPr>
          <w:rFonts w:ascii="Arial" w:hAnsi="Arial" w:cs="Arial"/>
        </w:rPr>
        <w:t xml:space="preserve">Heavy fleet – vehicle above 3.5 tons.  These are procured by the transport manager in collaboration with operational managers.   Day to day deployment is managed by operational managers and maintenance managed by the transport manager.   </w:t>
      </w:r>
    </w:p>
    <w:p w:rsidR="00C64F3D" w:rsidRPr="00116CA0" w:rsidRDefault="00C64F3D" w:rsidP="00131FC2">
      <w:pPr>
        <w:pStyle w:val="ListParagraph"/>
        <w:numPr>
          <w:ilvl w:val="0"/>
          <w:numId w:val="11"/>
        </w:numPr>
        <w:jc w:val="both"/>
        <w:rPr>
          <w:rFonts w:ascii="Arial" w:hAnsi="Arial" w:cs="Arial"/>
        </w:rPr>
      </w:pPr>
      <w:r w:rsidRPr="00116CA0">
        <w:rPr>
          <w:rFonts w:ascii="Arial" w:hAnsi="Arial" w:cs="Arial"/>
        </w:rPr>
        <w:t xml:space="preserve">White fleet – vehicles below 3.5 tons.   Arrangements are as above. </w:t>
      </w:r>
    </w:p>
    <w:p w:rsidR="00901D76" w:rsidRPr="00116CA0" w:rsidRDefault="00C64F3D" w:rsidP="00901D76">
      <w:pPr>
        <w:pStyle w:val="ListParagraph"/>
        <w:numPr>
          <w:ilvl w:val="0"/>
          <w:numId w:val="11"/>
        </w:numPr>
        <w:jc w:val="both"/>
        <w:rPr>
          <w:rFonts w:ascii="Arial" w:hAnsi="Arial" w:cs="Arial"/>
        </w:rPr>
      </w:pPr>
      <w:r w:rsidRPr="00116CA0">
        <w:rPr>
          <w:rFonts w:ascii="Arial" w:hAnsi="Arial" w:cs="Arial"/>
        </w:rPr>
        <w:t xml:space="preserve">Grey Fleet – vehicles owned by employees and used on Council business.  </w:t>
      </w:r>
      <w:r w:rsidR="001E316F" w:rsidRPr="00116CA0">
        <w:rPr>
          <w:rFonts w:ascii="Arial" w:hAnsi="Arial" w:cs="Arial"/>
        </w:rPr>
        <w:t>This applies Council wide.</w:t>
      </w:r>
      <w:r w:rsidR="00901D76" w:rsidRPr="00116CA0">
        <w:rPr>
          <w:rFonts w:ascii="Arial" w:hAnsi="Arial" w:cs="Arial"/>
        </w:rPr>
        <w:t xml:space="preserve"> An employee using their own vehicle for HC business is covered by the same legislation as vocational drivers.  HC has obligations in relation to the driver</w:t>
      </w:r>
      <w:r w:rsidR="0088461C" w:rsidRPr="00116CA0">
        <w:rPr>
          <w:rFonts w:ascii="Arial" w:hAnsi="Arial" w:cs="Arial"/>
        </w:rPr>
        <w:t>:</w:t>
      </w:r>
      <w:r w:rsidR="00901D76" w:rsidRPr="00116CA0">
        <w:rPr>
          <w:rFonts w:ascii="Arial" w:hAnsi="Arial" w:cs="Arial"/>
        </w:rPr>
        <w:t xml:space="preserve"> </w:t>
      </w:r>
    </w:p>
    <w:p w:rsidR="00901D76" w:rsidRPr="00116CA0" w:rsidRDefault="00901D76" w:rsidP="0088461C">
      <w:pPr>
        <w:pStyle w:val="ListParagraph"/>
        <w:numPr>
          <w:ilvl w:val="1"/>
          <w:numId w:val="13"/>
        </w:numPr>
        <w:spacing w:line="20" w:lineRule="atLeast"/>
        <w:jc w:val="both"/>
        <w:rPr>
          <w:rFonts w:ascii="Arial" w:hAnsi="Arial" w:cs="Arial"/>
        </w:rPr>
      </w:pPr>
      <w:proofErr w:type="gramStart"/>
      <w:r w:rsidRPr="00116CA0">
        <w:rPr>
          <w:rFonts w:ascii="Arial" w:hAnsi="Arial" w:cs="Arial"/>
        </w:rPr>
        <w:t>does</w:t>
      </w:r>
      <w:proofErr w:type="gramEnd"/>
      <w:r w:rsidRPr="00116CA0">
        <w:rPr>
          <w:rFonts w:ascii="Arial" w:hAnsi="Arial" w:cs="Arial"/>
        </w:rPr>
        <w:t xml:space="preserve"> the driver have a valid li</w:t>
      </w:r>
      <w:r w:rsidR="0088461C" w:rsidRPr="00116CA0">
        <w:rPr>
          <w:rFonts w:ascii="Arial" w:hAnsi="Arial" w:cs="Arial"/>
        </w:rPr>
        <w:t>cence?</w:t>
      </w:r>
      <w:r w:rsidRPr="00116CA0">
        <w:rPr>
          <w:rFonts w:ascii="Arial" w:hAnsi="Arial" w:cs="Arial"/>
        </w:rPr>
        <w:t xml:space="preserve"> </w:t>
      </w:r>
    </w:p>
    <w:p w:rsidR="00901D76" w:rsidRPr="00116CA0" w:rsidRDefault="00901D76" w:rsidP="0088461C">
      <w:pPr>
        <w:pStyle w:val="ListParagraph"/>
        <w:numPr>
          <w:ilvl w:val="1"/>
          <w:numId w:val="13"/>
        </w:numPr>
        <w:spacing w:line="20" w:lineRule="atLeast"/>
        <w:jc w:val="both"/>
        <w:rPr>
          <w:rFonts w:ascii="Arial" w:hAnsi="Arial" w:cs="Arial"/>
        </w:rPr>
      </w:pPr>
      <w:proofErr w:type="gramStart"/>
      <w:r w:rsidRPr="00116CA0">
        <w:rPr>
          <w:rFonts w:ascii="Arial" w:hAnsi="Arial" w:cs="Arial"/>
        </w:rPr>
        <w:t>are</w:t>
      </w:r>
      <w:proofErr w:type="gramEnd"/>
      <w:r w:rsidRPr="00116CA0">
        <w:rPr>
          <w:rFonts w:ascii="Arial" w:hAnsi="Arial" w:cs="Arial"/>
        </w:rPr>
        <w:t xml:space="preserve"> they fit to Drive?  </w:t>
      </w:r>
    </w:p>
    <w:p w:rsidR="00901D76" w:rsidRPr="00116CA0" w:rsidRDefault="0088461C" w:rsidP="0088461C">
      <w:pPr>
        <w:pStyle w:val="ListParagraph"/>
        <w:numPr>
          <w:ilvl w:val="1"/>
          <w:numId w:val="13"/>
        </w:numPr>
        <w:spacing w:line="20" w:lineRule="atLeast"/>
        <w:jc w:val="both"/>
        <w:rPr>
          <w:rFonts w:ascii="Arial" w:hAnsi="Arial" w:cs="Arial"/>
        </w:rPr>
      </w:pPr>
      <w:proofErr w:type="gramStart"/>
      <w:r w:rsidRPr="00116CA0">
        <w:rPr>
          <w:rFonts w:ascii="Arial" w:hAnsi="Arial" w:cs="Arial"/>
        </w:rPr>
        <w:t>h</w:t>
      </w:r>
      <w:r w:rsidR="00901D76" w:rsidRPr="00116CA0">
        <w:rPr>
          <w:rFonts w:ascii="Arial" w:hAnsi="Arial" w:cs="Arial"/>
        </w:rPr>
        <w:t>ow</w:t>
      </w:r>
      <w:proofErr w:type="gramEnd"/>
      <w:r w:rsidR="00901D76" w:rsidRPr="00116CA0">
        <w:rPr>
          <w:rFonts w:ascii="Arial" w:hAnsi="Arial" w:cs="Arial"/>
        </w:rPr>
        <w:t xml:space="preserve"> is this checked?</w:t>
      </w:r>
    </w:p>
    <w:p w:rsidR="00131FC2" w:rsidRPr="00116CA0" w:rsidRDefault="0088461C" w:rsidP="0088461C">
      <w:pPr>
        <w:spacing w:line="20" w:lineRule="atLeast"/>
        <w:ind w:firstLine="720"/>
        <w:jc w:val="both"/>
        <w:rPr>
          <w:rFonts w:ascii="Arial" w:hAnsi="Arial" w:cs="Arial"/>
        </w:rPr>
      </w:pPr>
      <w:proofErr w:type="gramStart"/>
      <w:r w:rsidRPr="00116CA0">
        <w:rPr>
          <w:rFonts w:ascii="Arial" w:hAnsi="Arial" w:cs="Arial"/>
        </w:rPr>
        <w:t>and</w:t>
      </w:r>
      <w:proofErr w:type="gramEnd"/>
      <w:r w:rsidRPr="00116CA0">
        <w:rPr>
          <w:rFonts w:ascii="Arial" w:hAnsi="Arial" w:cs="Arial"/>
        </w:rPr>
        <w:t xml:space="preserve"> the vehicle:</w:t>
      </w:r>
    </w:p>
    <w:p w:rsidR="0088461C" w:rsidRPr="00116CA0" w:rsidRDefault="0088461C" w:rsidP="0088461C">
      <w:pPr>
        <w:pStyle w:val="ListParagraph"/>
        <w:numPr>
          <w:ilvl w:val="0"/>
          <w:numId w:val="14"/>
        </w:numPr>
        <w:spacing w:line="20" w:lineRule="atLeast"/>
        <w:jc w:val="both"/>
        <w:rPr>
          <w:rFonts w:ascii="Arial" w:hAnsi="Arial" w:cs="Arial"/>
        </w:rPr>
      </w:pPr>
      <w:proofErr w:type="gramStart"/>
      <w:r w:rsidRPr="00116CA0">
        <w:rPr>
          <w:rFonts w:ascii="Arial" w:hAnsi="Arial" w:cs="Arial"/>
        </w:rPr>
        <w:t>is</w:t>
      </w:r>
      <w:proofErr w:type="gramEnd"/>
      <w:r w:rsidRPr="00116CA0">
        <w:rPr>
          <w:rFonts w:ascii="Arial" w:hAnsi="Arial" w:cs="Arial"/>
        </w:rPr>
        <w:t xml:space="preserve"> it roadworthy  - does it have an MOT and business insurance cover?</w:t>
      </w:r>
    </w:p>
    <w:p w:rsidR="0088461C" w:rsidRPr="00116CA0" w:rsidRDefault="0088461C" w:rsidP="0088461C">
      <w:pPr>
        <w:pStyle w:val="ListParagraph"/>
        <w:numPr>
          <w:ilvl w:val="0"/>
          <w:numId w:val="14"/>
        </w:numPr>
        <w:spacing w:line="20" w:lineRule="atLeast"/>
        <w:jc w:val="both"/>
        <w:rPr>
          <w:rFonts w:ascii="Arial" w:hAnsi="Arial" w:cs="Arial"/>
        </w:rPr>
      </w:pPr>
      <w:r w:rsidRPr="00116CA0">
        <w:rPr>
          <w:rFonts w:ascii="Arial" w:hAnsi="Arial" w:cs="Arial"/>
        </w:rPr>
        <w:t>How is this checked?</w:t>
      </w:r>
    </w:p>
    <w:p w:rsidR="00D57FC6" w:rsidRPr="00116CA0" w:rsidRDefault="0039264C" w:rsidP="00131FC2">
      <w:pPr>
        <w:jc w:val="both"/>
        <w:rPr>
          <w:rFonts w:ascii="Arial" w:hAnsi="Arial" w:cs="Arial"/>
        </w:rPr>
      </w:pPr>
      <w:hyperlink r:id="rId9" w:history="1">
        <w:r w:rsidR="007701A4" w:rsidRPr="00116CA0">
          <w:rPr>
            <w:rStyle w:val="Hyperlink"/>
            <w:rFonts w:ascii="Arial" w:hAnsi="Arial" w:cs="Arial"/>
          </w:rPr>
          <w:t>Travel and Subsistence Policy</w:t>
        </w:r>
      </w:hyperlink>
      <w:r w:rsidR="007701A4" w:rsidRPr="00116CA0">
        <w:rPr>
          <w:rFonts w:ascii="Arial" w:hAnsi="Arial" w:cs="Arial"/>
        </w:rPr>
        <w:t xml:space="preserve"> covers the rates of reimbursement.   </w:t>
      </w:r>
      <w:r w:rsidR="00131FC2" w:rsidRPr="00116CA0">
        <w:rPr>
          <w:rFonts w:ascii="Arial" w:hAnsi="Arial" w:cs="Arial"/>
        </w:rPr>
        <w:t>Grey fleet t</w:t>
      </w:r>
      <w:r w:rsidR="000B2462" w:rsidRPr="00116CA0">
        <w:rPr>
          <w:rFonts w:ascii="Arial" w:hAnsi="Arial" w:cs="Arial"/>
        </w:rPr>
        <w:t xml:space="preserve">ravel is not </w:t>
      </w:r>
      <w:r w:rsidR="001E316F" w:rsidRPr="00116CA0">
        <w:rPr>
          <w:rFonts w:ascii="Arial" w:hAnsi="Arial" w:cs="Arial"/>
        </w:rPr>
        <w:t xml:space="preserve">generally </w:t>
      </w:r>
      <w:r w:rsidR="000B2462" w:rsidRPr="00116CA0">
        <w:rPr>
          <w:rFonts w:ascii="Arial" w:hAnsi="Arial" w:cs="Arial"/>
        </w:rPr>
        <w:t xml:space="preserve">approved in advance.  </w:t>
      </w:r>
    </w:p>
    <w:p w:rsidR="00131FC2" w:rsidRPr="00116CA0" w:rsidRDefault="000B2462" w:rsidP="00131FC2">
      <w:pPr>
        <w:jc w:val="both"/>
        <w:rPr>
          <w:rFonts w:ascii="Arial" w:hAnsi="Arial" w:cs="Arial"/>
        </w:rPr>
      </w:pPr>
      <w:r w:rsidRPr="00116CA0">
        <w:rPr>
          <w:rFonts w:ascii="Arial" w:hAnsi="Arial" w:cs="Arial"/>
        </w:rPr>
        <w:t xml:space="preserve">Travel should be made in accordance with the </w:t>
      </w:r>
      <w:r w:rsidR="001E316F" w:rsidRPr="00116CA0">
        <w:rPr>
          <w:rFonts w:ascii="Arial" w:hAnsi="Arial" w:cs="Arial"/>
        </w:rPr>
        <w:t>Travel H</w:t>
      </w:r>
      <w:r w:rsidR="007701A4" w:rsidRPr="00116CA0">
        <w:rPr>
          <w:rFonts w:ascii="Arial" w:hAnsi="Arial" w:cs="Arial"/>
        </w:rPr>
        <w:t xml:space="preserve">ierarchy </w:t>
      </w:r>
      <w:r w:rsidR="00131FC2" w:rsidRPr="00116CA0">
        <w:rPr>
          <w:rFonts w:ascii="Arial" w:hAnsi="Arial" w:cs="Arial"/>
        </w:rPr>
        <w:t>but it appears not to be widely understood or implemented</w:t>
      </w:r>
      <w:r w:rsidR="001E316F" w:rsidRPr="00116CA0">
        <w:rPr>
          <w:rFonts w:ascii="Arial" w:hAnsi="Arial" w:cs="Arial"/>
        </w:rPr>
        <w:t xml:space="preserve">.  </w:t>
      </w:r>
    </w:p>
    <w:p w:rsidR="0025200B" w:rsidRPr="00116CA0" w:rsidRDefault="0025200B" w:rsidP="00131FC2">
      <w:pPr>
        <w:jc w:val="both"/>
        <w:rPr>
          <w:rFonts w:ascii="Arial" w:hAnsi="Arial" w:cs="Arial"/>
        </w:rPr>
      </w:pPr>
      <w:r w:rsidRPr="00116CA0">
        <w:rPr>
          <w:rFonts w:ascii="Arial" w:hAnsi="Arial" w:cs="Arial"/>
          <w:noProof/>
          <w:lang w:eastAsia="en-GB"/>
        </w:rPr>
        <w:drawing>
          <wp:inline distT="0" distB="0" distL="0" distR="0" wp14:anchorId="12B27FB5" wp14:editId="64DA0CB5">
            <wp:extent cx="3744091" cy="2025650"/>
            <wp:effectExtent l="0" t="0" r="8890" b="0"/>
            <wp:docPr id="1" name="Picture 1" descr="C:\Users\Carolinc\AppData\Local\Microsoft\Windows\Temporary Internet Files\Content.Outlook\OCICO75Q\CC_Travel_Hierarchy_v2_A4_Micro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c\AppData\Local\Microsoft\Windows\Temporary Internet Files\Content.Outlook\OCICO75Q\CC_Travel_Hierarchy_v2_A4_Microsi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3738" cy="2030869"/>
                    </a:xfrm>
                    <a:prstGeom prst="rect">
                      <a:avLst/>
                    </a:prstGeom>
                    <a:noFill/>
                    <a:ln>
                      <a:noFill/>
                    </a:ln>
                  </pic:spPr>
                </pic:pic>
              </a:graphicData>
            </a:graphic>
          </wp:inline>
        </w:drawing>
      </w:r>
    </w:p>
    <w:p w:rsidR="000B2462" w:rsidRPr="00116CA0" w:rsidRDefault="00854247" w:rsidP="00131FC2">
      <w:pPr>
        <w:jc w:val="both"/>
        <w:rPr>
          <w:rFonts w:ascii="Arial" w:hAnsi="Arial" w:cs="Arial"/>
        </w:rPr>
      </w:pPr>
      <w:r w:rsidRPr="00116CA0">
        <w:rPr>
          <w:rFonts w:ascii="Arial" w:hAnsi="Arial" w:cs="Arial"/>
        </w:rPr>
        <w:t xml:space="preserve">There is no clear owner of the grey fleet process.  </w:t>
      </w:r>
    </w:p>
    <w:p w:rsidR="0025200B" w:rsidRPr="00116CA0" w:rsidRDefault="00901D76" w:rsidP="00F64A84">
      <w:pPr>
        <w:jc w:val="both"/>
        <w:rPr>
          <w:rFonts w:ascii="Arial" w:hAnsi="Arial" w:cs="Arial"/>
        </w:rPr>
      </w:pPr>
      <w:r w:rsidRPr="00116CA0">
        <w:rPr>
          <w:rFonts w:ascii="Arial" w:hAnsi="Arial" w:cs="Arial"/>
        </w:rPr>
        <w:t xml:space="preserve"> </w:t>
      </w:r>
    </w:p>
    <w:p w:rsidR="0025200B" w:rsidRDefault="0025200B" w:rsidP="00F64A84">
      <w:pPr>
        <w:jc w:val="both"/>
        <w:rPr>
          <w:rFonts w:ascii="Arial" w:hAnsi="Arial" w:cs="Arial"/>
        </w:rPr>
      </w:pPr>
    </w:p>
    <w:p w:rsidR="004918E7" w:rsidRPr="00116CA0" w:rsidRDefault="000B2462" w:rsidP="00F64A84">
      <w:pPr>
        <w:jc w:val="both"/>
        <w:rPr>
          <w:rFonts w:ascii="Arial" w:hAnsi="Arial" w:cs="Arial"/>
        </w:rPr>
      </w:pPr>
      <w:r w:rsidRPr="00116CA0">
        <w:rPr>
          <w:rFonts w:ascii="Arial" w:hAnsi="Arial" w:cs="Arial"/>
        </w:rPr>
        <w:lastRenderedPageBreak/>
        <w:t xml:space="preserve">Spend on Grey Fleet    </w:t>
      </w:r>
    </w:p>
    <w:tbl>
      <w:tblPr>
        <w:tblW w:w="0" w:type="auto"/>
        <w:tblCellMar>
          <w:left w:w="0" w:type="dxa"/>
          <w:right w:w="0" w:type="dxa"/>
        </w:tblCellMar>
        <w:tblLook w:val="04A0" w:firstRow="1" w:lastRow="0" w:firstColumn="1" w:lastColumn="0" w:noHBand="0" w:noVBand="1"/>
      </w:tblPr>
      <w:tblGrid>
        <w:gridCol w:w="1318"/>
        <w:gridCol w:w="1320"/>
        <w:gridCol w:w="1395"/>
        <w:gridCol w:w="1321"/>
        <w:gridCol w:w="1321"/>
        <w:gridCol w:w="1395"/>
        <w:gridCol w:w="1321"/>
      </w:tblGrid>
      <w:tr w:rsidR="00854247" w:rsidRPr="00854247" w:rsidTr="00854247">
        <w:tc>
          <w:tcPr>
            <w:tcW w:w="1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Grey Fleet Analysis</w:t>
            </w:r>
          </w:p>
        </w:tc>
        <w:tc>
          <w:tcPr>
            <w:tcW w:w="396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2015/16</w:t>
            </w:r>
          </w:p>
        </w:tc>
        <w:tc>
          <w:tcPr>
            <w:tcW w:w="396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2016/17</w:t>
            </w:r>
          </w:p>
        </w:tc>
      </w:tr>
      <w:tr w:rsidR="00854247" w:rsidRPr="00854247" w:rsidTr="00854247">
        <w:tc>
          <w:tcPr>
            <w:tcW w:w="13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4247" w:rsidRPr="00854247" w:rsidRDefault="00854247" w:rsidP="00F64A84">
            <w:pPr>
              <w:spacing w:after="0" w:line="240" w:lineRule="auto"/>
              <w:jc w:val="both"/>
              <w:rPr>
                <w:rFonts w:ascii="Arial" w:eastAsia="Calibri" w:hAnsi="Arial" w:cs="Arial"/>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Mileage</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Cost</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CO</w:t>
            </w:r>
            <w:r w:rsidRPr="00854247">
              <w:rPr>
                <w:rFonts w:ascii="Arial" w:eastAsia="Calibri" w:hAnsi="Arial" w:cs="Arial"/>
                <w:vertAlign w:val="subscript"/>
              </w:rPr>
              <w:t>2</w:t>
            </w:r>
            <w:r w:rsidRPr="00854247">
              <w:rPr>
                <w:rFonts w:ascii="Arial" w:eastAsia="Calibri" w:hAnsi="Arial" w:cs="Arial"/>
              </w:rPr>
              <w:t>e (tonnes)</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Mileage</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Cost</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CO</w:t>
            </w:r>
            <w:r w:rsidRPr="00854247">
              <w:rPr>
                <w:rFonts w:ascii="Arial" w:eastAsia="Calibri" w:hAnsi="Arial" w:cs="Arial"/>
                <w:vertAlign w:val="subscript"/>
              </w:rPr>
              <w:t>2</w:t>
            </w:r>
            <w:r w:rsidRPr="00854247">
              <w:rPr>
                <w:rFonts w:ascii="Arial" w:eastAsia="Calibri" w:hAnsi="Arial" w:cs="Arial"/>
              </w:rPr>
              <w:t>e (tonnes)</w:t>
            </w:r>
          </w:p>
        </w:tc>
      </w:tr>
      <w:tr w:rsidR="00854247" w:rsidRPr="00854247" w:rsidTr="00854247">
        <w:tc>
          <w:tcPr>
            <w:tcW w:w="1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Staff</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5,861,331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£1,925,959</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1,837</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6,024,756</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£2,243,531</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1,887</w:t>
            </w:r>
          </w:p>
        </w:tc>
      </w:tr>
      <w:tr w:rsidR="00854247" w:rsidRPr="00854247" w:rsidTr="00854247">
        <w:tc>
          <w:tcPr>
            <w:tcW w:w="1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Members</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412,150</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£185,162</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129</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371,890</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£167,380</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117</w:t>
            </w:r>
          </w:p>
        </w:tc>
      </w:tr>
      <w:tr w:rsidR="00854247" w:rsidRPr="00854247" w:rsidTr="00854247">
        <w:tc>
          <w:tcPr>
            <w:tcW w:w="1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Total</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6,273,481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£2,111,221</w:t>
            </w:r>
            <w:r w:rsidRPr="00854247">
              <w:rPr>
                <w:rFonts w:ascii="Arial" w:eastAsia="Calibri" w:hAnsi="Arial" w:cs="Arial"/>
                <w:b/>
                <w:bCs/>
                <w:vertAlign w:val="superscript"/>
              </w:rPr>
              <w:t>1</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1,966</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6,396,646</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£2,410,911</w:t>
            </w:r>
            <w:r w:rsidRPr="00854247">
              <w:rPr>
                <w:rFonts w:ascii="Arial" w:eastAsia="Calibri" w:hAnsi="Arial" w:cs="Arial"/>
                <w:b/>
                <w:bCs/>
                <w:vertAlign w:val="superscript"/>
              </w:rPr>
              <w:t>2</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2,004</w:t>
            </w:r>
          </w:p>
        </w:tc>
      </w:tr>
    </w:tbl>
    <w:p w:rsidR="00854247" w:rsidRPr="00116CA0" w:rsidRDefault="00854247" w:rsidP="00F64A84">
      <w:pPr>
        <w:spacing w:after="0" w:line="240" w:lineRule="auto"/>
        <w:jc w:val="both"/>
        <w:rPr>
          <w:rFonts w:ascii="Arial" w:eastAsia="Calibri" w:hAnsi="Arial" w:cs="Arial"/>
          <w:color w:val="000000"/>
          <w:vertAlign w:val="superscript"/>
        </w:rPr>
      </w:pPr>
    </w:p>
    <w:p w:rsidR="00854247" w:rsidRPr="00854247" w:rsidRDefault="00854247" w:rsidP="00F64A84">
      <w:pPr>
        <w:spacing w:after="0" w:line="240" w:lineRule="auto"/>
        <w:jc w:val="both"/>
        <w:rPr>
          <w:rFonts w:ascii="Arial" w:eastAsia="Calibri" w:hAnsi="Arial" w:cs="Arial"/>
          <w:color w:val="000000"/>
        </w:rPr>
      </w:pPr>
      <w:r w:rsidRPr="00854247">
        <w:rPr>
          <w:rFonts w:ascii="Arial" w:eastAsia="Calibri" w:hAnsi="Arial" w:cs="Arial"/>
          <w:color w:val="000000"/>
          <w:vertAlign w:val="superscript"/>
        </w:rPr>
        <w:t xml:space="preserve">1 </w:t>
      </w:r>
      <w:r w:rsidRPr="00854247">
        <w:rPr>
          <w:rFonts w:ascii="Arial" w:eastAsia="Calibri" w:hAnsi="Arial" w:cs="Arial"/>
          <w:color w:val="000000"/>
        </w:rPr>
        <w:t>Average cost per mile 2015/16 = £0.336p</w:t>
      </w:r>
    </w:p>
    <w:p w:rsidR="00854247" w:rsidRPr="00854247" w:rsidRDefault="00854247" w:rsidP="00F64A84">
      <w:pPr>
        <w:spacing w:after="0" w:line="240" w:lineRule="auto"/>
        <w:jc w:val="both"/>
        <w:rPr>
          <w:rFonts w:ascii="Arial" w:eastAsia="Calibri" w:hAnsi="Arial" w:cs="Arial"/>
          <w:color w:val="000000"/>
        </w:rPr>
      </w:pPr>
      <w:r w:rsidRPr="00854247">
        <w:rPr>
          <w:rFonts w:ascii="Arial" w:eastAsia="Calibri" w:hAnsi="Arial" w:cs="Arial"/>
          <w:color w:val="000000"/>
          <w:vertAlign w:val="superscript"/>
        </w:rPr>
        <w:t>2</w:t>
      </w:r>
      <w:r w:rsidRPr="00854247">
        <w:rPr>
          <w:rFonts w:ascii="Arial" w:eastAsia="Calibri" w:hAnsi="Arial" w:cs="Arial"/>
          <w:color w:val="000000"/>
        </w:rPr>
        <w:t xml:space="preserve"> Average cost per mile 2016/17 = £0.377p</w:t>
      </w:r>
    </w:p>
    <w:p w:rsidR="00854247" w:rsidRPr="00854247" w:rsidRDefault="00854247" w:rsidP="00F64A84">
      <w:pPr>
        <w:spacing w:after="0" w:line="240" w:lineRule="auto"/>
        <w:jc w:val="both"/>
        <w:rPr>
          <w:rFonts w:ascii="Arial" w:eastAsia="Calibri" w:hAnsi="Arial" w:cs="Arial"/>
          <w:color w:val="000000"/>
        </w:rPr>
      </w:pPr>
    </w:p>
    <w:p w:rsidR="0025200B" w:rsidRPr="00116CA0" w:rsidRDefault="00854247" w:rsidP="0025200B">
      <w:pPr>
        <w:spacing w:after="0" w:line="240" w:lineRule="auto"/>
        <w:jc w:val="both"/>
        <w:rPr>
          <w:rFonts w:ascii="Arial" w:eastAsia="Calibri" w:hAnsi="Arial" w:cs="Arial"/>
          <w:color w:val="000000"/>
        </w:rPr>
      </w:pPr>
      <w:r w:rsidRPr="00854247">
        <w:rPr>
          <w:rFonts w:ascii="Arial" w:eastAsia="Calibri" w:hAnsi="Arial" w:cs="Arial"/>
          <w:color w:val="000000"/>
        </w:rPr>
        <w:t xml:space="preserve">Staff and Member grey fleet costs have reduced by £690,000 since 2011/12, which equates to a reduction of 27% in business mileage claimed when compared to 2016/17.  However, there was an overall 2% increase in staff &amp; Member mileage claims in 2016/17 compared to 2015/16, which requires analysis.  Measuring and understanding the different levels of grey fleet claims year on year is clearly challenging, as no two years are exactly alike in respect of the business conducted by the Council. </w:t>
      </w:r>
    </w:p>
    <w:p w:rsidR="0025200B" w:rsidRPr="00116CA0" w:rsidRDefault="0025200B" w:rsidP="0025200B">
      <w:pPr>
        <w:spacing w:after="0" w:line="240" w:lineRule="auto"/>
        <w:jc w:val="both"/>
        <w:rPr>
          <w:rFonts w:ascii="Arial" w:eastAsia="Calibri" w:hAnsi="Arial" w:cs="Arial"/>
          <w:color w:val="000000"/>
        </w:rPr>
      </w:pPr>
    </w:p>
    <w:p w:rsidR="00F64A84" w:rsidRPr="00116CA0" w:rsidRDefault="00131FC2" w:rsidP="00F64A84">
      <w:pPr>
        <w:jc w:val="both"/>
        <w:rPr>
          <w:rFonts w:ascii="Arial" w:hAnsi="Arial" w:cs="Arial"/>
          <w:b/>
        </w:rPr>
      </w:pPr>
      <w:r w:rsidRPr="00116CA0">
        <w:rPr>
          <w:rFonts w:ascii="Arial" w:hAnsi="Arial" w:cs="Arial"/>
          <w:b/>
        </w:rPr>
        <w:t xml:space="preserve">3. </w:t>
      </w:r>
      <w:r w:rsidR="00F64A84" w:rsidRPr="00116CA0">
        <w:rPr>
          <w:rFonts w:ascii="Arial" w:hAnsi="Arial" w:cs="Arial"/>
          <w:b/>
        </w:rPr>
        <w:t>The Objectives of the Review</w:t>
      </w:r>
    </w:p>
    <w:p w:rsidR="004C2E46" w:rsidRPr="00116CA0" w:rsidRDefault="004C2E46" w:rsidP="00F64A84">
      <w:pPr>
        <w:jc w:val="both"/>
        <w:rPr>
          <w:rFonts w:ascii="Arial" w:hAnsi="Arial" w:cs="Arial"/>
        </w:rPr>
      </w:pPr>
      <w:r w:rsidRPr="00116CA0">
        <w:rPr>
          <w:rFonts w:ascii="Arial" w:hAnsi="Arial" w:cs="Arial"/>
        </w:rPr>
        <w:t xml:space="preserve">Using the Peer Review 10 Options for Service </w:t>
      </w:r>
      <w:r w:rsidR="00131FC2" w:rsidRPr="00116CA0">
        <w:rPr>
          <w:rFonts w:ascii="Arial" w:hAnsi="Arial" w:cs="Arial"/>
        </w:rPr>
        <w:t>Delivery model prepare proposals to:</w:t>
      </w:r>
    </w:p>
    <w:p w:rsidR="00F64A84" w:rsidRPr="00116CA0" w:rsidRDefault="004C2E46" w:rsidP="000E09D8">
      <w:pPr>
        <w:pStyle w:val="ListParagraph"/>
        <w:numPr>
          <w:ilvl w:val="0"/>
          <w:numId w:val="10"/>
        </w:numPr>
        <w:jc w:val="both"/>
        <w:rPr>
          <w:rFonts w:ascii="Arial" w:hAnsi="Arial" w:cs="Arial"/>
        </w:rPr>
      </w:pPr>
      <w:r w:rsidRPr="00116CA0">
        <w:rPr>
          <w:rFonts w:ascii="Arial" w:hAnsi="Arial" w:cs="Arial"/>
        </w:rPr>
        <w:t>Reduce</w:t>
      </w:r>
      <w:r w:rsidR="00F64A84" w:rsidRPr="00116CA0">
        <w:rPr>
          <w:rFonts w:ascii="Arial" w:hAnsi="Arial" w:cs="Arial"/>
        </w:rPr>
        <w:t xml:space="preserve"> th</w:t>
      </w:r>
      <w:r w:rsidR="000E09D8" w:rsidRPr="00116CA0">
        <w:rPr>
          <w:rFonts w:ascii="Arial" w:hAnsi="Arial" w:cs="Arial"/>
        </w:rPr>
        <w:t>e spend on grey fleet mileage claims by</w:t>
      </w:r>
      <w:r w:rsidR="00F64A84" w:rsidRPr="00116CA0">
        <w:rPr>
          <w:rFonts w:ascii="Arial" w:hAnsi="Arial" w:cs="Arial"/>
        </w:rPr>
        <w:t xml:space="preserve"> recommending alternatives to grey fleet,  whilst  recognising that not all  areas have access </w:t>
      </w:r>
      <w:r w:rsidR="000E09D8" w:rsidRPr="00116CA0">
        <w:rPr>
          <w:rFonts w:ascii="Arial" w:hAnsi="Arial" w:cs="Arial"/>
        </w:rPr>
        <w:t xml:space="preserve">to </w:t>
      </w:r>
      <w:r w:rsidR="00F64A84" w:rsidRPr="00116CA0">
        <w:rPr>
          <w:rFonts w:ascii="Arial" w:hAnsi="Arial" w:cs="Arial"/>
        </w:rPr>
        <w:t xml:space="preserve">alternative methods of travel.  </w:t>
      </w:r>
    </w:p>
    <w:p w:rsidR="00131FC2" w:rsidRPr="00116CA0" w:rsidRDefault="00131FC2" w:rsidP="000E09D8">
      <w:pPr>
        <w:pStyle w:val="ListParagraph"/>
        <w:numPr>
          <w:ilvl w:val="0"/>
          <w:numId w:val="10"/>
        </w:numPr>
        <w:jc w:val="both"/>
        <w:rPr>
          <w:rFonts w:ascii="Arial" w:hAnsi="Arial" w:cs="Arial"/>
        </w:rPr>
      </w:pPr>
      <w:r w:rsidRPr="00116CA0">
        <w:rPr>
          <w:rFonts w:ascii="Arial" w:hAnsi="Arial" w:cs="Arial"/>
        </w:rPr>
        <w:t>Reduce the risk to the Council in terms of liabilities relating to staff using their own vehicles.</w:t>
      </w:r>
    </w:p>
    <w:p w:rsidR="00F64A84" w:rsidRPr="00116CA0" w:rsidRDefault="00F64A84" w:rsidP="000E09D8">
      <w:pPr>
        <w:pStyle w:val="ListParagraph"/>
        <w:numPr>
          <w:ilvl w:val="0"/>
          <w:numId w:val="10"/>
        </w:numPr>
        <w:jc w:val="both"/>
        <w:rPr>
          <w:rFonts w:ascii="Arial" w:hAnsi="Arial" w:cs="Arial"/>
        </w:rPr>
      </w:pPr>
      <w:r w:rsidRPr="00116CA0">
        <w:rPr>
          <w:rFonts w:ascii="Arial" w:hAnsi="Arial" w:cs="Arial"/>
        </w:rPr>
        <w:t>Reinvigorate the travel hierarchy</w:t>
      </w:r>
      <w:r w:rsidR="00901D76" w:rsidRPr="00116CA0">
        <w:rPr>
          <w:rFonts w:ascii="Arial" w:hAnsi="Arial" w:cs="Arial"/>
        </w:rPr>
        <w:t xml:space="preserve"> and promote lower cost and more carbon efficient </w:t>
      </w:r>
      <w:r w:rsidR="00902EE3">
        <w:rPr>
          <w:rFonts w:ascii="Arial" w:hAnsi="Arial" w:cs="Arial"/>
        </w:rPr>
        <w:t xml:space="preserve">methods and </w:t>
      </w:r>
      <w:r w:rsidR="00901D76" w:rsidRPr="00116CA0">
        <w:rPr>
          <w:rFonts w:ascii="Arial" w:hAnsi="Arial" w:cs="Arial"/>
        </w:rPr>
        <w:t xml:space="preserve">alternatives to travel. </w:t>
      </w:r>
    </w:p>
    <w:p w:rsidR="00F64A84" w:rsidRPr="00116CA0" w:rsidRDefault="000E09D8" w:rsidP="000E09D8">
      <w:pPr>
        <w:pStyle w:val="ListParagraph"/>
        <w:numPr>
          <w:ilvl w:val="0"/>
          <w:numId w:val="10"/>
        </w:numPr>
        <w:jc w:val="both"/>
        <w:rPr>
          <w:rFonts w:ascii="Arial" w:hAnsi="Arial" w:cs="Arial"/>
        </w:rPr>
      </w:pPr>
      <w:r w:rsidRPr="00116CA0">
        <w:rPr>
          <w:rFonts w:ascii="Arial" w:hAnsi="Arial" w:cs="Arial"/>
        </w:rPr>
        <w:t xml:space="preserve">Review the </w:t>
      </w:r>
      <w:r w:rsidR="00F64A84" w:rsidRPr="00116CA0">
        <w:rPr>
          <w:rFonts w:ascii="Arial" w:hAnsi="Arial" w:cs="Arial"/>
        </w:rPr>
        <w:t>T</w:t>
      </w:r>
      <w:r w:rsidRPr="00116CA0">
        <w:rPr>
          <w:rFonts w:ascii="Arial" w:hAnsi="Arial" w:cs="Arial"/>
        </w:rPr>
        <w:t>ravel and Subsistence P</w:t>
      </w:r>
      <w:r w:rsidR="00F64A84" w:rsidRPr="00116CA0">
        <w:rPr>
          <w:rFonts w:ascii="Arial" w:hAnsi="Arial" w:cs="Arial"/>
        </w:rPr>
        <w:t>olicy</w:t>
      </w:r>
      <w:r w:rsidRPr="00116CA0">
        <w:rPr>
          <w:rFonts w:ascii="Arial" w:hAnsi="Arial" w:cs="Arial"/>
        </w:rPr>
        <w:t>.</w:t>
      </w:r>
      <w:r w:rsidR="00F64A84" w:rsidRPr="00116CA0">
        <w:rPr>
          <w:rFonts w:ascii="Arial" w:hAnsi="Arial" w:cs="Arial"/>
        </w:rPr>
        <w:t xml:space="preserve"> </w:t>
      </w:r>
    </w:p>
    <w:p w:rsidR="00F64A84" w:rsidRPr="00116CA0" w:rsidRDefault="000E09D8" w:rsidP="000E09D8">
      <w:pPr>
        <w:pStyle w:val="ListParagraph"/>
        <w:numPr>
          <w:ilvl w:val="0"/>
          <w:numId w:val="10"/>
        </w:numPr>
        <w:jc w:val="both"/>
        <w:rPr>
          <w:rFonts w:ascii="Arial" w:hAnsi="Arial" w:cs="Arial"/>
        </w:rPr>
      </w:pPr>
      <w:r w:rsidRPr="00116CA0">
        <w:rPr>
          <w:rFonts w:ascii="Arial" w:hAnsi="Arial" w:cs="Arial"/>
        </w:rPr>
        <w:t>Recommend</w:t>
      </w:r>
      <w:r w:rsidR="00F64A84" w:rsidRPr="00116CA0">
        <w:rPr>
          <w:rFonts w:ascii="Arial" w:hAnsi="Arial" w:cs="Arial"/>
        </w:rPr>
        <w:t xml:space="preserve"> Directorate ownership for travel. </w:t>
      </w:r>
    </w:p>
    <w:p w:rsidR="00F64A84" w:rsidRPr="00116CA0" w:rsidRDefault="000E09D8" w:rsidP="00F64A84">
      <w:pPr>
        <w:pStyle w:val="ListParagraph"/>
        <w:numPr>
          <w:ilvl w:val="0"/>
          <w:numId w:val="10"/>
        </w:numPr>
        <w:jc w:val="both"/>
        <w:rPr>
          <w:rFonts w:ascii="Arial" w:hAnsi="Arial" w:cs="Arial"/>
        </w:rPr>
      </w:pPr>
      <w:r w:rsidRPr="00116CA0">
        <w:rPr>
          <w:rFonts w:ascii="Arial" w:hAnsi="Arial" w:cs="Arial"/>
        </w:rPr>
        <w:t>Develop an</w:t>
      </w:r>
      <w:r w:rsidR="00F64A84" w:rsidRPr="00116CA0">
        <w:rPr>
          <w:rFonts w:ascii="Arial" w:hAnsi="Arial" w:cs="Arial"/>
        </w:rPr>
        <w:t xml:space="preserve"> Implementation Plan</w:t>
      </w:r>
      <w:r w:rsidRPr="00116CA0">
        <w:rPr>
          <w:rFonts w:ascii="Arial" w:hAnsi="Arial" w:cs="Arial"/>
        </w:rPr>
        <w:t xml:space="preserve">. </w:t>
      </w:r>
    </w:p>
    <w:p w:rsidR="00B96967" w:rsidRPr="00116CA0" w:rsidRDefault="00131FC2" w:rsidP="00F64A84">
      <w:pPr>
        <w:jc w:val="both"/>
        <w:rPr>
          <w:rFonts w:ascii="Arial" w:hAnsi="Arial" w:cs="Arial"/>
        </w:rPr>
      </w:pPr>
      <w:r w:rsidRPr="00116CA0">
        <w:rPr>
          <w:rFonts w:ascii="Arial" w:hAnsi="Arial" w:cs="Arial"/>
          <w:b/>
        </w:rPr>
        <w:t xml:space="preserve">4. </w:t>
      </w:r>
      <w:r w:rsidR="009E5DFF" w:rsidRPr="00116CA0">
        <w:rPr>
          <w:rFonts w:ascii="Arial" w:hAnsi="Arial" w:cs="Arial"/>
          <w:b/>
        </w:rPr>
        <w:t xml:space="preserve"> </w:t>
      </w:r>
      <w:r w:rsidR="00B96967" w:rsidRPr="00116CA0">
        <w:rPr>
          <w:rFonts w:ascii="Arial" w:hAnsi="Arial" w:cs="Arial"/>
          <w:b/>
        </w:rPr>
        <w:t>Out of Scope</w:t>
      </w:r>
    </w:p>
    <w:p w:rsidR="007C2880" w:rsidRPr="00116CA0" w:rsidRDefault="00F64A84" w:rsidP="00F64A84">
      <w:pPr>
        <w:pStyle w:val="ListParagraph"/>
        <w:numPr>
          <w:ilvl w:val="0"/>
          <w:numId w:val="4"/>
        </w:numPr>
        <w:jc w:val="both"/>
        <w:rPr>
          <w:rFonts w:ascii="Arial" w:hAnsi="Arial" w:cs="Arial"/>
        </w:rPr>
      </w:pPr>
      <w:r w:rsidRPr="00116CA0">
        <w:rPr>
          <w:rFonts w:ascii="Arial" w:hAnsi="Arial" w:cs="Arial"/>
        </w:rPr>
        <w:t>Fuel procurement</w:t>
      </w:r>
    </w:p>
    <w:p w:rsidR="00845158" w:rsidRPr="00116CA0" w:rsidRDefault="00F64A84" w:rsidP="0088461C">
      <w:pPr>
        <w:pStyle w:val="ListParagraph"/>
        <w:numPr>
          <w:ilvl w:val="0"/>
          <w:numId w:val="4"/>
        </w:numPr>
        <w:jc w:val="both"/>
        <w:rPr>
          <w:rFonts w:ascii="Arial" w:hAnsi="Arial" w:cs="Arial"/>
        </w:rPr>
      </w:pPr>
      <w:r w:rsidRPr="00116CA0">
        <w:rPr>
          <w:rFonts w:ascii="Arial" w:hAnsi="Arial" w:cs="Arial"/>
        </w:rPr>
        <w:t>Staff not employed directly by HC (</w:t>
      </w:r>
      <w:proofErr w:type="spellStart"/>
      <w:r w:rsidRPr="00116CA0">
        <w:rPr>
          <w:rFonts w:ascii="Arial" w:hAnsi="Arial" w:cs="Arial"/>
        </w:rPr>
        <w:t>eg</w:t>
      </w:r>
      <w:proofErr w:type="spellEnd"/>
      <w:r w:rsidRPr="00116CA0">
        <w:rPr>
          <w:rFonts w:ascii="Arial" w:hAnsi="Arial" w:cs="Arial"/>
        </w:rPr>
        <w:t xml:space="preserve">. HLH, Assessors) </w:t>
      </w:r>
    </w:p>
    <w:p w:rsidR="00A77016" w:rsidRPr="00116CA0" w:rsidRDefault="00131FC2" w:rsidP="00F64A84">
      <w:pPr>
        <w:jc w:val="both"/>
        <w:rPr>
          <w:rFonts w:ascii="Arial" w:hAnsi="Arial" w:cs="Arial"/>
          <w:b/>
        </w:rPr>
      </w:pPr>
      <w:r w:rsidRPr="00116CA0">
        <w:rPr>
          <w:rFonts w:ascii="Arial" w:hAnsi="Arial" w:cs="Arial"/>
          <w:b/>
        </w:rPr>
        <w:t xml:space="preserve">5. </w:t>
      </w:r>
      <w:r w:rsidR="000E09D8" w:rsidRPr="00116CA0">
        <w:rPr>
          <w:rFonts w:ascii="Arial" w:hAnsi="Arial" w:cs="Arial"/>
          <w:b/>
        </w:rPr>
        <w:t>The Review Team</w:t>
      </w:r>
    </w:p>
    <w:tbl>
      <w:tblPr>
        <w:tblStyle w:val="TableGrid"/>
        <w:tblW w:w="0" w:type="auto"/>
        <w:tblLook w:val="04A0" w:firstRow="1" w:lastRow="0" w:firstColumn="1" w:lastColumn="0" w:noHBand="0" w:noVBand="1"/>
      </w:tblPr>
      <w:tblGrid>
        <w:gridCol w:w="4621"/>
        <w:gridCol w:w="4621"/>
      </w:tblGrid>
      <w:tr w:rsidR="000E09D8" w:rsidRPr="00116CA0" w:rsidTr="000E09D8">
        <w:tc>
          <w:tcPr>
            <w:tcW w:w="4621" w:type="dxa"/>
          </w:tcPr>
          <w:p w:rsidR="000E09D8" w:rsidRPr="00116CA0" w:rsidRDefault="000E09D8" w:rsidP="00F64A84">
            <w:pPr>
              <w:jc w:val="both"/>
              <w:rPr>
                <w:rFonts w:ascii="Arial" w:hAnsi="Arial" w:cs="Arial"/>
                <w:b/>
              </w:rPr>
            </w:pPr>
            <w:r w:rsidRPr="00116CA0">
              <w:rPr>
                <w:rFonts w:ascii="Arial" w:hAnsi="Arial" w:cs="Arial"/>
                <w:b/>
              </w:rPr>
              <w:t>Name</w:t>
            </w:r>
          </w:p>
        </w:tc>
        <w:tc>
          <w:tcPr>
            <w:tcW w:w="4621" w:type="dxa"/>
          </w:tcPr>
          <w:p w:rsidR="000E09D8" w:rsidRPr="00116CA0" w:rsidRDefault="000E09D8" w:rsidP="000E09D8">
            <w:pPr>
              <w:rPr>
                <w:rFonts w:ascii="Arial" w:hAnsi="Arial" w:cs="Arial"/>
                <w:b/>
              </w:rPr>
            </w:pPr>
            <w:r w:rsidRPr="00116CA0">
              <w:rPr>
                <w:rFonts w:ascii="Arial" w:hAnsi="Arial" w:cs="Arial"/>
                <w:b/>
              </w:rPr>
              <w:t xml:space="preserve">Designation </w:t>
            </w:r>
          </w:p>
        </w:tc>
      </w:tr>
      <w:tr w:rsidR="000E09D8" w:rsidRPr="00116CA0" w:rsidTr="000E09D8">
        <w:tc>
          <w:tcPr>
            <w:tcW w:w="4621" w:type="dxa"/>
          </w:tcPr>
          <w:p w:rsidR="000E09D8" w:rsidRPr="00116CA0" w:rsidRDefault="000E09D8" w:rsidP="00F64A84">
            <w:pPr>
              <w:jc w:val="both"/>
              <w:rPr>
                <w:rFonts w:ascii="Arial" w:hAnsi="Arial" w:cs="Arial"/>
              </w:rPr>
            </w:pPr>
            <w:r w:rsidRPr="00116CA0">
              <w:rPr>
                <w:rFonts w:ascii="Arial" w:hAnsi="Arial" w:cs="Arial"/>
              </w:rPr>
              <w:t>Caroline Campbell</w:t>
            </w:r>
          </w:p>
        </w:tc>
        <w:tc>
          <w:tcPr>
            <w:tcW w:w="4621" w:type="dxa"/>
          </w:tcPr>
          <w:p w:rsidR="000E09D8" w:rsidRPr="00116CA0" w:rsidRDefault="000E09D8" w:rsidP="000E09D8">
            <w:pPr>
              <w:rPr>
                <w:rFonts w:ascii="Arial" w:hAnsi="Arial" w:cs="Arial"/>
              </w:rPr>
            </w:pPr>
            <w:r w:rsidRPr="00116CA0">
              <w:rPr>
                <w:rFonts w:ascii="Arial" w:hAnsi="Arial" w:cs="Arial"/>
              </w:rPr>
              <w:t>Head of Performance and Resources, Community Services</w:t>
            </w:r>
          </w:p>
        </w:tc>
      </w:tr>
      <w:tr w:rsidR="000E09D8" w:rsidRPr="00116CA0" w:rsidTr="000E09D8">
        <w:tc>
          <w:tcPr>
            <w:tcW w:w="4621" w:type="dxa"/>
          </w:tcPr>
          <w:p w:rsidR="000E09D8" w:rsidRPr="00116CA0" w:rsidRDefault="000E09D8" w:rsidP="00F64A84">
            <w:pPr>
              <w:jc w:val="both"/>
              <w:rPr>
                <w:rFonts w:ascii="Arial" w:hAnsi="Arial" w:cs="Arial"/>
              </w:rPr>
            </w:pPr>
            <w:r w:rsidRPr="00116CA0">
              <w:rPr>
                <w:rFonts w:ascii="Arial" w:hAnsi="Arial" w:cs="Arial"/>
              </w:rPr>
              <w:t>Angela Mackenzie</w:t>
            </w:r>
          </w:p>
        </w:tc>
        <w:tc>
          <w:tcPr>
            <w:tcW w:w="4621" w:type="dxa"/>
          </w:tcPr>
          <w:p w:rsidR="000E09D8" w:rsidRPr="00116CA0" w:rsidRDefault="000E09D8" w:rsidP="000E09D8">
            <w:pPr>
              <w:rPr>
                <w:rFonts w:ascii="Arial" w:hAnsi="Arial" w:cs="Arial"/>
              </w:rPr>
            </w:pPr>
            <w:r w:rsidRPr="00116CA0">
              <w:rPr>
                <w:rFonts w:ascii="Arial" w:hAnsi="Arial" w:cs="Arial"/>
              </w:rPr>
              <w:t>Payroll Operations Manager</w:t>
            </w:r>
          </w:p>
        </w:tc>
      </w:tr>
      <w:tr w:rsidR="000E09D8" w:rsidRPr="00116CA0" w:rsidTr="000E09D8">
        <w:tc>
          <w:tcPr>
            <w:tcW w:w="4621" w:type="dxa"/>
          </w:tcPr>
          <w:p w:rsidR="000E09D8" w:rsidRPr="00116CA0" w:rsidRDefault="000E09D8" w:rsidP="00F64A84">
            <w:pPr>
              <w:jc w:val="both"/>
              <w:rPr>
                <w:rFonts w:ascii="Arial" w:hAnsi="Arial" w:cs="Arial"/>
              </w:rPr>
            </w:pPr>
            <w:r w:rsidRPr="00116CA0">
              <w:rPr>
                <w:rFonts w:ascii="Arial" w:hAnsi="Arial" w:cs="Arial"/>
              </w:rPr>
              <w:t xml:space="preserve">Keith Masson </w:t>
            </w:r>
          </w:p>
        </w:tc>
        <w:tc>
          <w:tcPr>
            <w:tcW w:w="4621" w:type="dxa"/>
          </w:tcPr>
          <w:p w:rsidR="000E09D8" w:rsidRPr="00116CA0" w:rsidRDefault="000E09D8" w:rsidP="000E09D8">
            <w:pPr>
              <w:rPr>
                <w:rFonts w:ascii="Arial" w:hAnsi="Arial" w:cs="Arial"/>
              </w:rPr>
            </w:pPr>
            <w:r w:rsidRPr="00116CA0">
              <w:rPr>
                <w:rFonts w:ascii="Arial" w:hAnsi="Arial" w:cs="Arial"/>
              </w:rPr>
              <w:t xml:space="preserve">Climate Change Officer </w:t>
            </w:r>
          </w:p>
        </w:tc>
      </w:tr>
      <w:tr w:rsidR="004C2E46" w:rsidRPr="00116CA0" w:rsidTr="000E09D8">
        <w:tc>
          <w:tcPr>
            <w:tcW w:w="4621" w:type="dxa"/>
          </w:tcPr>
          <w:p w:rsidR="004C2E46" w:rsidRPr="00116CA0" w:rsidRDefault="004C2E46" w:rsidP="00F64A84">
            <w:pPr>
              <w:jc w:val="both"/>
              <w:rPr>
                <w:rFonts w:ascii="Arial" w:hAnsi="Arial" w:cs="Arial"/>
              </w:rPr>
            </w:pPr>
            <w:r w:rsidRPr="00116CA0">
              <w:rPr>
                <w:rFonts w:ascii="Arial" w:hAnsi="Arial" w:cs="Arial"/>
              </w:rPr>
              <w:t>Kateryna Zoryk</w:t>
            </w:r>
          </w:p>
        </w:tc>
        <w:tc>
          <w:tcPr>
            <w:tcW w:w="4621" w:type="dxa"/>
          </w:tcPr>
          <w:p w:rsidR="004C2E46" w:rsidRPr="00116CA0" w:rsidRDefault="004C2E46" w:rsidP="000E09D8">
            <w:pPr>
              <w:rPr>
                <w:rFonts w:ascii="Arial" w:hAnsi="Arial" w:cs="Arial"/>
              </w:rPr>
            </w:pPr>
            <w:r w:rsidRPr="00116CA0">
              <w:rPr>
                <w:rFonts w:ascii="Arial" w:hAnsi="Arial" w:cs="Arial"/>
              </w:rPr>
              <w:t xml:space="preserve">HR Business Partner </w:t>
            </w:r>
          </w:p>
        </w:tc>
      </w:tr>
      <w:tr w:rsidR="000E09D8" w:rsidRPr="00116CA0" w:rsidTr="000E09D8">
        <w:tc>
          <w:tcPr>
            <w:tcW w:w="4621" w:type="dxa"/>
          </w:tcPr>
          <w:p w:rsidR="000E09D8" w:rsidRPr="00116CA0" w:rsidRDefault="004C2E46" w:rsidP="00F64A84">
            <w:pPr>
              <w:jc w:val="both"/>
              <w:rPr>
                <w:rFonts w:ascii="Arial" w:hAnsi="Arial" w:cs="Arial"/>
              </w:rPr>
            </w:pPr>
            <w:r w:rsidRPr="00116CA0">
              <w:rPr>
                <w:rFonts w:ascii="Arial" w:hAnsi="Arial" w:cs="Arial"/>
              </w:rPr>
              <w:t xml:space="preserve">Roy Cattle </w:t>
            </w:r>
          </w:p>
        </w:tc>
        <w:tc>
          <w:tcPr>
            <w:tcW w:w="4621" w:type="dxa"/>
          </w:tcPr>
          <w:p w:rsidR="000E09D8" w:rsidRPr="00116CA0" w:rsidRDefault="004C2E46" w:rsidP="000E09D8">
            <w:pPr>
              <w:rPr>
                <w:rFonts w:ascii="Arial" w:hAnsi="Arial" w:cs="Arial"/>
              </w:rPr>
            </w:pPr>
            <w:r w:rsidRPr="00116CA0">
              <w:rPr>
                <w:rFonts w:ascii="Arial" w:hAnsi="Arial" w:cs="Arial"/>
              </w:rPr>
              <w:t xml:space="preserve">Union Representative </w:t>
            </w:r>
          </w:p>
        </w:tc>
      </w:tr>
      <w:tr w:rsidR="004C2E46" w:rsidRPr="00116CA0" w:rsidTr="000E09D8">
        <w:tc>
          <w:tcPr>
            <w:tcW w:w="4621" w:type="dxa"/>
          </w:tcPr>
          <w:p w:rsidR="004C2E46" w:rsidRPr="00116CA0" w:rsidRDefault="004C2E46" w:rsidP="00F64A84">
            <w:pPr>
              <w:jc w:val="both"/>
              <w:rPr>
                <w:rFonts w:ascii="Arial" w:hAnsi="Arial" w:cs="Arial"/>
              </w:rPr>
            </w:pPr>
            <w:r w:rsidRPr="00116CA0">
              <w:rPr>
                <w:rFonts w:ascii="Arial" w:hAnsi="Arial" w:cs="Arial"/>
              </w:rPr>
              <w:t xml:space="preserve">Councillor Loudon </w:t>
            </w:r>
          </w:p>
        </w:tc>
        <w:tc>
          <w:tcPr>
            <w:tcW w:w="4621" w:type="dxa"/>
          </w:tcPr>
          <w:p w:rsidR="004C2E46" w:rsidRPr="00116CA0" w:rsidRDefault="004C2E46" w:rsidP="000E09D8">
            <w:pPr>
              <w:rPr>
                <w:rFonts w:ascii="Arial" w:hAnsi="Arial" w:cs="Arial"/>
              </w:rPr>
            </w:pPr>
            <w:r w:rsidRPr="00116CA0">
              <w:rPr>
                <w:rFonts w:ascii="Arial" w:hAnsi="Arial" w:cs="Arial"/>
              </w:rPr>
              <w:t xml:space="preserve">Redesign Board Member </w:t>
            </w:r>
          </w:p>
        </w:tc>
      </w:tr>
      <w:tr w:rsidR="004C2E46" w:rsidRPr="00116CA0" w:rsidTr="000E09D8">
        <w:tc>
          <w:tcPr>
            <w:tcW w:w="4621" w:type="dxa"/>
          </w:tcPr>
          <w:p w:rsidR="004C2E46" w:rsidRPr="00116CA0" w:rsidRDefault="004C2E46" w:rsidP="00F64A84">
            <w:pPr>
              <w:jc w:val="both"/>
              <w:rPr>
                <w:rFonts w:ascii="Arial" w:hAnsi="Arial" w:cs="Arial"/>
              </w:rPr>
            </w:pPr>
            <w:r w:rsidRPr="00116CA0">
              <w:rPr>
                <w:rFonts w:ascii="Arial" w:hAnsi="Arial" w:cs="Arial"/>
              </w:rPr>
              <w:t xml:space="preserve">Councillor Gray </w:t>
            </w:r>
          </w:p>
        </w:tc>
        <w:tc>
          <w:tcPr>
            <w:tcW w:w="4621" w:type="dxa"/>
          </w:tcPr>
          <w:p w:rsidR="004C2E46" w:rsidRPr="00116CA0" w:rsidRDefault="004C2E46" w:rsidP="000E09D8">
            <w:pPr>
              <w:rPr>
                <w:rFonts w:ascii="Arial" w:hAnsi="Arial" w:cs="Arial"/>
              </w:rPr>
            </w:pPr>
            <w:r w:rsidRPr="00116CA0">
              <w:rPr>
                <w:rFonts w:ascii="Arial" w:hAnsi="Arial" w:cs="Arial"/>
              </w:rPr>
              <w:t>Redesign Board Member</w:t>
            </w:r>
          </w:p>
        </w:tc>
      </w:tr>
    </w:tbl>
    <w:p w:rsidR="000E09D8" w:rsidRPr="00116CA0" w:rsidRDefault="000E09D8" w:rsidP="00F64A84">
      <w:pPr>
        <w:jc w:val="both"/>
        <w:rPr>
          <w:rFonts w:ascii="Arial" w:hAnsi="Arial" w:cs="Arial"/>
        </w:rPr>
      </w:pPr>
    </w:p>
    <w:p w:rsidR="00131FC2" w:rsidRPr="00116CA0" w:rsidRDefault="00131FC2" w:rsidP="00F64A84">
      <w:pPr>
        <w:jc w:val="both"/>
        <w:rPr>
          <w:rFonts w:ascii="Arial" w:hAnsi="Arial" w:cs="Arial"/>
        </w:rPr>
      </w:pPr>
      <w:proofErr w:type="gramStart"/>
      <w:r w:rsidRPr="00116CA0">
        <w:rPr>
          <w:rFonts w:ascii="Arial" w:hAnsi="Arial" w:cs="Arial"/>
        </w:rPr>
        <w:t>Supported by Bill Alexander, Director of Care and Learning.</w:t>
      </w:r>
      <w:proofErr w:type="gramEnd"/>
      <w:r w:rsidRPr="00116CA0">
        <w:rPr>
          <w:rFonts w:ascii="Arial" w:hAnsi="Arial" w:cs="Arial"/>
        </w:rPr>
        <w:t xml:space="preserve"> </w:t>
      </w:r>
    </w:p>
    <w:p w:rsidR="00A77016" w:rsidRPr="00116CA0" w:rsidRDefault="00A77016" w:rsidP="00F64A84">
      <w:pPr>
        <w:jc w:val="both"/>
        <w:rPr>
          <w:rFonts w:ascii="Arial" w:hAnsi="Arial" w:cs="Arial"/>
        </w:rPr>
      </w:pPr>
    </w:p>
    <w:sectPr w:rsidR="00A77016" w:rsidRPr="00116CA0" w:rsidSect="00116CA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40C" w:rsidRDefault="00AF440C" w:rsidP="00DE383A">
      <w:pPr>
        <w:spacing w:after="0" w:line="240" w:lineRule="auto"/>
      </w:pPr>
      <w:r>
        <w:separator/>
      </w:r>
    </w:p>
  </w:endnote>
  <w:endnote w:type="continuationSeparator" w:id="0">
    <w:p w:rsidR="00AF440C" w:rsidRDefault="00AF440C" w:rsidP="00DE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3A" w:rsidRDefault="00DE38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3A" w:rsidRDefault="00DE38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3A" w:rsidRDefault="00DE3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40C" w:rsidRDefault="00AF440C" w:rsidP="00DE383A">
      <w:pPr>
        <w:spacing w:after="0" w:line="240" w:lineRule="auto"/>
      </w:pPr>
      <w:r>
        <w:separator/>
      </w:r>
    </w:p>
  </w:footnote>
  <w:footnote w:type="continuationSeparator" w:id="0">
    <w:p w:rsidR="00AF440C" w:rsidRDefault="00AF440C" w:rsidP="00DE3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3A" w:rsidRDefault="00DE38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383907"/>
      <w:docPartObj>
        <w:docPartGallery w:val="Watermarks"/>
        <w:docPartUnique/>
      </w:docPartObj>
    </w:sdtPr>
    <w:sdtEndPr/>
    <w:sdtContent>
      <w:p w:rsidR="00DE383A" w:rsidRDefault="0039264C">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3A" w:rsidRDefault="00DE38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91C"/>
    <w:multiLevelType w:val="hybridMultilevel"/>
    <w:tmpl w:val="614C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9411D4"/>
    <w:multiLevelType w:val="hybridMultilevel"/>
    <w:tmpl w:val="52DE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21157"/>
    <w:multiLevelType w:val="hybridMultilevel"/>
    <w:tmpl w:val="E398EC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8C11756"/>
    <w:multiLevelType w:val="hybridMultilevel"/>
    <w:tmpl w:val="D852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04CF7"/>
    <w:multiLevelType w:val="hybridMultilevel"/>
    <w:tmpl w:val="5A84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110BF6"/>
    <w:multiLevelType w:val="hybridMultilevel"/>
    <w:tmpl w:val="1960F5B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95"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F00391"/>
    <w:multiLevelType w:val="hybridMultilevel"/>
    <w:tmpl w:val="205EF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62467C"/>
    <w:multiLevelType w:val="hybridMultilevel"/>
    <w:tmpl w:val="994A2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2161BF"/>
    <w:multiLevelType w:val="hybridMultilevel"/>
    <w:tmpl w:val="2AF4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BE7859"/>
    <w:multiLevelType w:val="hybridMultilevel"/>
    <w:tmpl w:val="8138E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FE4DAA"/>
    <w:multiLevelType w:val="hybridMultilevel"/>
    <w:tmpl w:val="79D0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02637D"/>
    <w:multiLevelType w:val="hybridMultilevel"/>
    <w:tmpl w:val="04126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7529C0"/>
    <w:multiLevelType w:val="hybridMultilevel"/>
    <w:tmpl w:val="C3F0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4503DF"/>
    <w:multiLevelType w:val="hybridMultilevel"/>
    <w:tmpl w:val="5BBA7C88"/>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0"/>
  </w:num>
  <w:num w:numId="3">
    <w:abstractNumId w:val="11"/>
  </w:num>
  <w:num w:numId="4">
    <w:abstractNumId w:val="8"/>
  </w:num>
  <w:num w:numId="5">
    <w:abstractNumId w:val="3"/>
  </w:num>
  <w:num w:numId="6">
    <w:abstractNumId w:val="0"/>
  </w:num>
  <w:num w:numId="7">
    <w:abstractNumId w:val="4"/>
  </w:num>
  <w:num w:numId="8">
    <w:abstractNumId w:val="6"/>
  </w:num>
  <w:num w:numId="9">
    <w:abstractNumId w:val="7"/>
  </w:num>
  <w:num w:numId="10">
    <w:abstractNumId w:val="9"/>
  </w:num>
  <w:num w:numId="11">
    <w:abstractNumId w:val="5"/>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4B"/>
    <w:rsid w:val="0003569E"/>
    <w:rsid w:val="000B2462"/>
    <w:rsid w:val="000E09D8"/>
    <w:rsid w:val="00116CA0"/>
    <w:rsid w:val="00131FC2"/>
    <w:rsid w:val="001364A5"/>
    <w:rsid w:val="001E316F"/>
    <w:rsid w:val="0025200B"/>
    <w:rsid w:val="002A2D62"/>
    <w:rsid w:val="002E188D"/>
    <w:rsid w:val="0039264C"/>
    <w:rsid w:val="003A7FC0"/>
    <w:rsid w:val="00477AA1"/>
    <w:rsid w:val="004918E7"/>
    <w:rsid w:val="004A5BDB"/>
    <w:rsid w:val="004A6880"/>
    <w:rsid w:val="004C2E46"/>
    <w:rsid w:val="004E6A24"/>
    <w:rsid w:val="0056624B"/>
    <w:rsid w:val="005933B8"/>
    <w:rsid w:val="006901DC"/>
    <w:rsid w:val="006C6935"/>
    <w:rsid w:val="006D7285"/>
    <w:rsid w:val="00742C43"/>
    <w:rsid w:val="007437D8"/>
    <w:rsid w:val="007701A4"/>
    <w:rsid w:val="00795BD4"/>
    <w:rsid w:val="007B36F9"/>
    <w:rsid w:val="007C2880"/>
    <w:rsid w:val="00845158"/>
    <w:rsid w:val="00854247"/>
    <w:rsid w:val="0088461C"/>
    <w:rsid w:val="008D45D1"/>
    <w:rsid w:val="008E0BCA"/>
    <w:rsid w:val="00901D76"/>
    <w:rsid w:val="00902EE3"/>
    <w:rsid w:val="009C7379"/>
    <w:rsid w:val="009E5DFF"/>
    <w:rsid w:val="00A56C9A"/>
    <w:rsid w:val="00A77016"/>
    <w:rsid w:val="00AF440C"/>
    <w:rsid w:val="00B0048B"/>
    <w:rsid w:val="00B02560"/>
    <w:rsid w:val="00B226C7"/>
    <w:rsid w:val="00B96967"/>
    <w:rsid w:val="00C40699"/>
    <w:rsid w:val="00C64F3D"/>
    <w:rsid w:val="00D16F63"/>
    <w:rsid w:val="00D23136"/>
    <w:rsid w:val="00D302F5"/>
    <w:rsid w:val="00D355F2"/>
    <w:rsid w:val="00D526E0"/>
    <w:rsid w:val="00D57FC6"/>
    <w:rsid w:val="00DC12D4"/>
    <w:rsid w:val="00DE383A"/>
    <w:rsid w:val="00DF35EE"/>
    <w:rsid w:val="00E159F6"/>
    <w:rsid w:val="00E40F9C"/>
    <w:rsid w:val="00F64A84"/>
    <w:rsid w:val="00F67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1A4"/>
    <w:rPr>
      <w:color w:val="0000FF" w:themeColor="hyperlink"/>
      <w:u w:val="single"/>
    </w:rPr>
  </w:style>
  <w:style w:type="table" w:styleId="TableGrid">
    <w:name w:val="Table Grid"/>
    <w:basedOn w:val="TableNormal"/>
    <w:uiPriority w:val="59"/>
    <w:rsid w:val="0077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560"/>
    <w:pPr>
      <w:ind w:left="720"/>
      <w:contextualSpacing/>
    </w:pPr>
  </w:style>
  <w:style w:type="paragraph" w:styleId="Header">
    <w:name w:val="header"/>
    <w:basedOn w:val="Normal"/>
    <w:link w:val="HeaderChar"/>
    <w:uiPriority w:val="99"/>
    <w:unhideWhenUsed/>
    <w:rsid w:val="00DE3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83A"/>
  </w:style>
  <w:style w:type="paragraph" w:styleId="Footer">
    <w:name w:val="footer"/>
    <w:basedOn w:val="Normal"/>
    <w:link w:val="FooterChar"/>
    <w:uiPriority w:val="99"/>
    <w:unhideWhenUsed/>
    <w:rsid w:val="00DE3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83A"/>
  </w:style>
  <w:style w:type="paragraph" w:styleId="BalloonText">
    <w:name w:val="Balloon Text"/>
    <w:basedOn w:val="Normal"/>
    <w:link w:val="BalloonTextChar"/>
    <w:uiPriority w:val="99"/>
    <w:semiHidden/>
    <w:unhideWhenUsed/>
    <w:rsid w:val="0025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1A4"/>
    <w:rPr>
      <w:color w:val="0000FF" w:themeColor="hyperlink"/>
      <w:u w:val="single"/>
    </w:rPr>
  </w:style>
  <w:style w:type="table" w:styleId="TableGrid">
    <w:name w:val="Table Grid"/>
    <w:basedOn w:val="TableNormal"/>
    <w:uiPriority w:val="59"/>
    <w:rsid w:val="0077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560"/>
    <w:pPr>
      <w:ind w:left="720"/>
      <w:contextualSpacing/>
    </w:pPr>
  </w:style>
  <w:style w:type="paragraph" w:styleId="Header">
    <w:name w:val="header"/>
    <w:basedOn w:val="Normal"/>
    <w:link w:val="HeaderChar"/>
    <w:uiPriority w:val="99"/>
    <w:unhideWhenUsed/>
    <w:rsid w:val="00DE3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83A"/>
  </w:style>
  <w:style w:type="paragraph" w:styleId="Footer">
    <w:name w:val="footer"/>
    <w:basedOn w:val="Normal"/>
    <w:link w:val="FooterChar"/>
    <w:uiPriority w:val="99"/>
    <w:unhideWhenUsed/>
    <w:rsid w:val="00DE3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83A"/>
  </w:style>
  <w:style w:type="paragraph" w:styleId="BalloonText">
    <w:name w:val="Balloon Text"/>
    <w:basedOn w:val="Normal"/>
    <w:link w:val="BalloonTextChar"/>
    <w:uiPriority w:val="99"/>
    <w:semiHidden/>
    <w:unhideWhenUsed/>
    <w:rsid w:val="0025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85696">
      <w:bodyDiv w:val="1"/>
      <w:marLeft w:val="0"/>
      <w:marRight w:val="0"/>
      <w:marTop w:val="0"/>
      <w:marBottom w:val="0"/>
      <w:divBdr>
        <w:top w:val="none" w:sz="0" w:space="0" w:color="auto"/>
        <w:left w:val="none" w:sz="0" w:space="0" w:color="auto"/>
        <w:bottom w:val="none" w:sz="0" w:space="0" w:color="auto"/>
        <w:right w:val="none" w:sz="0" w:space="0" w:color="auto"/>
      </w:divBdr>
    </w:div>
    <w:div w:id="47029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file:///C:\Users\Carolinc\Downloads\Travel_and_Subsistence_Policy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57C54-97D1-4467-AA44-29957D41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Campbell</dc:creator>
  <cp:lastModifiedBy>Carron McDiarmid</cp:lastModifiedBy>
  <cp:revision>2</cp:revision>
  <cp:lastPrinted>2017-09-19T14:36:00Z</cp:lastPrinted>
  <dcterms:created xsi:type="dcterms:W3CDTF">2017-10-09T12:19:00Z</dcterms:created>
  <dcterms:modified xsi:type="dcterms:W3CDTF">2017-10-09T12:19:00Z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310fda37-08c6-4a82-be99-44a1806dfd4a</vt:lpwstr>
  </property>
  <property fmtid="{D5CDD505-2E9C-101B-9397-08002B2CF9AE}" pid="3" name="Classification">
    <vt:lpwstr>Unclassified</vt:lpwstr>
  </property>
  <property fmtid="{D5CDD505-2E9C-101B-9397-08002B2CF9AE}" pid="4" name="_AdHocReviewCycleID">
    <vt:i4>-1006151663</vt:i4>
  </property>
  <property fmtid="{D5CDD505-2E9C-101B-9397-08002B2CF9AE}" pid="5" name="_NewReviewCycle">
    <vt:lpwstr/>
  </property>
  <property fmtid="{D5CDD505-2E9C-101B-9397-08002B2CF9AE}" pid="6" name="_EmailSubject">
    <vt:lpwstr>Redesign page on intranet</vt:lpwstr>
  </property>
  <property fmtid="{D5CDD505-2E9C-101B-9397-08002B2CF9AE}" pid="7" name="_AuthorEmail">
    <vt:lpwstr>carron.mcdiarmid@highland.gov.uk</vt:lpwstr>
  </property>
  <property fmtid="{D5CDD505-2E9C-101B-9397-08002B2CF9AE}" pid="8" name="_AuthorEmailDisplayName">
    <vt:lpwstr>Carron McDiarmid</vt:lpwstr>
  </property>
  <property fmtid="{D5CDD505-2E9C-101B-9397-08002B2CF9AE}" pid="10" name="_PreviousAdHocReviewCycleID">
    <vt:i4>-233015136</vt:i4>
  </property>
</Properties>
</file>