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353" w:rsidRDefault="00177353" w:rsidP="00177353">
      <w:pPr>
        <w:pStyle w:val="Heading2"/>
        <w:rPr>
          <w:lang w:val="en"/>
        </w:rPr>
      </w:pPr>
      <w:bookmarkStart w:id="0" w:name="_Toc327356082"/>
      <w:r>
        <w:rPr>
          <w:lang w:val="en"/>
        </w:rPr>
        <w:t xml:space="preserve">Equality Impact Assessment: </w:t>
      </w:r>
    </w:p>
    <w:p w:rsidR="00177353" w:rsidRPr="00DE1EDA" w:rsidRDefault="00177353" w:rsidP="00177353">
      <w:pPr>
        <w:pStyle w:val="NoSpacing"/>
        <w:rPr>
          <w:rFonts w:cs="Arial"/>
          <w:b/>
          <w:szCs w:val="24"/>
        </w:rPr>
      </w:pPr>
      <w:r w:rsidRPr="00DE1EDA">
        <w:rPr>
          <w:rFonts w:cs="Arial"/>
          <w:b/>
          <w:szCs w:val="24"/>
        </w:rPr>
        <w:t>Purpose of the Equality Impact Assessment:</w:t>
      </w:r>
    </w:p>
    <w:p w:rsidR="00177353" w:rsidRPr="00DE1EDA" w:rsidRDefault="00177353" w:rsidP="00177353">
      <w:pPr>
        <w:pStyle w:val="NoSpacing"/>
        <w:rPr>
          <w:rFonts w:cs="Arial"/>
          <w:color w:val="000000" w:themeColor="text1"/>
          <w:szCs w:val="24"/>
        </w:rPr>
      </w:pPr>
      <w:r w:rsidRPr="00DE1EDA">
        <w:rPr>
          <w:rFonts w:cs="Arial"/>
          <w:color w:val="000000" w:themeColor="text1"/>
          <w:szCs w:val="24"/>
        </w:rPr>
        <w:t xml:space="preserve">The Equality Act 2010 </w:t>
      </w:r>
      <w:r>
        <w:rPr>
          <w:rFonts w:cs="Arial"/>
          <w:color w:val="000000" w:themeColor="text1"/>
          <w:szCs w:val="24"/>
        </w:rPr>
        <w:t xml:space="preserve">introduced a </w:t>
      </w:r>
      <w:hyperlink r:id="rId6" w:history="1">
        <w:r w:rsidRPr="00DE1EDA">
          <w:rPr>
            <w:rStyle w:val="Hyperlink"/>
            <w:rFonts w:cs="Arial"/>
            <w:color w:val="000000" w:themeColor="text1"/>
            <w:szCs w:val="24"/>
          </w:rPr>
          <w:t>Public Sector Equality Duty</w:t>
        </w:r>
      </w:hyperlink>
      <w:r w:rsidRPr="00DE1EDA">
        <w:rPr>
          <w:rStyle w:val="Hyperlink"/>
          <w:rFonts w:cs="Arial"/>
          <w:color w:val="000000" w:themeColor="text1"/>
          <w:szCs w:val="24"/>
        </w:rPr>
        <w:t xml:space="preserve"> (PSED)</w:t>
      </w:r>
      <w:r w:rsidRPr="00DE1EDA">
        <w:rPr>
          <w:rFonts w:cs="Arial"/>
          <w:color w:val="000000" w:themeColor="text1"/>
          <w:szCs w:val="24"/>
        </w:rPr>
        <w:t xml:space="preserve"> </w:t>
      </w:r>
      <w:r>
        <w:rPr>
          <w:rFonts w:cs="Arial"/>
          <w:color w:val="000000" w:themeColor="text1"/>
          <w:szCs w:val="24"/>
        </w:rPr>
        <w:t>requiring</w:t>
      </w:r>
      <w:r w:rsidRPr="00DE1EDA">
        <w:rPr>
          <w:rFonts w:cs="Arial"/>
          <w:color w:val="000000" w:themeColor="text1"/>
          <w:szCs w:val="24"/>
        </w:rPr>
        <w:t xml:space="preserve"> public bodies to give due regard to the need to:</w:t>
      </w:r>
    </w:p>
    <w:p w:rsidR="00177353" w:rsidRPr="00DE1EDA" w:rsidRDefault="00177353" w:rsidP="00177353">
      <w:pPr>
        <w:pStyle w:val="NoSpacing"/>
        <w:numPr>
          <w:ilvl w:val="0"/>
          <w:numId w:val="9"/>
        </w:numPr>
        <w:rPr>
          <w:rFonts w:cs="Arial"/>
          <w:color w:val="000000" w:themeColor="text1"/>
          <w:szCs w:val="24"/>
        </w:rPr>
      </w:pPr>
      <w:r w:rsidRPr="00DE1EDA">
        <w:rPr>
          <w:rFonts w:cs="Arial"/>
          <w:color w:val="000000" w:themeColor="text1"/>
          <w:szCs w:val="24"/>
        </w:rPr>
        <w:t>Eliminate unlawful discrimination</w:t>
      </w:r>
    </w:p>
    <w:p w:rsidR="00177353" w:rsidRPr="00DE1EDA" w:rsidRDefault="00177353" w:rsidP="00177353">
      <w:pPr>
        <w:pStyle w:val="NoSpacing"/>
        <w:numPr>
          <w:ilvl w:val="0"/>
          <w:numId w:val="9"/>
        </w:numPr>
        <w:rPr>
          <w:rFonts w:cs="Arial"/>
          <w:color w:val="000000" w:themeColor="text1"/>
          <w:szCs w:val="24"/>
        </w:rPr>
      </w:pPr>
      <w:r w:rsidRPr="00DE1EDA">
        <w:rPr>
          <w:rFonts w:cs="Arial"/>
          <w:color w:val="000000" w:themeColor="text1"/>
          <w:szCs w:val="24"/>
        </w:rPr>
        <w:t xml:space="preserve">Advance equality of opportunity </w:t>
      </w:r>
    </w:p>
    <w:p w:rsidR="00177353" w:rsidRPr="00DE1EDA" w:rsidRDefault="00177353" w:rsidP="00177353">
      <w:pPr>
        <w:pStyle w:val="NoSpacing"/>
        <w:numPr>
          <w:ilvl w:val="0"/>
          <w:numId w:val="9"/>
        </w:numPr>
        <w:rPr>
          <w:rFonts w:cs="Arial"/>
          <w:color w:val="000000" w:themeColor="text1"/>
          <w:szCs w:val="24"/>
        </w:rPr>
      </w:pPr>
      <w:r w:rsidRPr="00DE1EDA">
        <w:rPr>
          <w:rFonts w:cs="Arial"/>
          <w:color w:val="000000" w:themeColor="text1"/>
          <w:szCs w:val="24"/>
        </w:rPr>
        <w:t>Foster good relations</w:t>
      </w:r>
    </w:p>
    <w:p w:rsidR="00177353" w:rsidRPr="00DE1EDA" w:rsidRDefault="00177353" w:rsidP="00177353">
      <w:pPr>
        <w:pStyle w:val="NoSpacing"/>
        <w:rPr>
          <w:rFonts w:cs="Arial"/>
          <w:color w:val="000000" w:themeColor="text1"/>
          <w:szCs w:val="24"/>
        </w:rPr>
      </w:pPr>
    </w:p>
    <w:p w:rsidR="00177353" w:rsidRPr="00DE1EDA" w:rsidRDefault="00177353" w:rsidP="00177353">
      <w:pPr>
        <w:pStyle w:val="NoSpacing"/>
        <w:rPr>
          <w:rFonts w:cs="Arial"/>
          <w:color w:val="000000" w:themeColor="text1"/>
          <w:szCs w:val="24"/>
        </w:rPr>
      </w:pPr>
      <w:r>
        <w:rPr>
          <w:rFonts w:cs="Arial"/>
          <w:color w:val="000000" w:themeColor="text1"/>
          <w:szCs w:val="24"/>
        </w:rPr>
        <w:t>Consideration must be given to the</w:t>
      </w:r>
      <w:r w:rsidRPr="00DE1EDA">
        <w:rPr>
          <w:rFonts w:cs="Arial"/>
          <w:color w:val="000000" w:themeColor="text1"/>
          <w:szCs w:val="24"/>
        </w:rPr>
        <w:t xml:space="preserve"> </w:t>
      </w:r>
      <w:r w:rsidRPr="00DE1EDA">
        <w:rPr>
          <w:rFonts w:cs="Arial"/>
          <w:bCs/>
          <w:color w:val="000000" w:themeColor="text1"/>
          <w:szCs w:val="24"/>
        </w:rPr>
        <w:t>protected characteristics</w:t>
      </w:r>
      <w:r>
        <w:rPr>
          <w:rFonts w:cs="Arial"/>
          <w:bCs/>
          <w:color w:val="000000" w:themeColor="text1"/>
          <w:szCs w:val="24"/>
        </w:rPr>
        <w:t xml:space="preserve"> covered by</w:t>
      </w:r>
      <w:r w:rsidRPr="00DE1EDA">
        <w:rPr>
          <w:rFonts w:cs="Arial"/>
          <w:color w:val="000000" w:themeColor="text1"/>
          <w:szCs w:val="24"/>
        </w:rPr>
        <w:t xml:space="preserve"> the Equality Act</w:t>
      </w:r>
      <w:r>
        <w:rPr>
          <w:rFonts w:cs="Arial"/>
          <w:color w:val="000000" w:themeColor="text1"/>
          <w:szCs w:val="24"/>
        </w:rPr>
        <w:t>.</w:t>
      </w:r>
      <w:r w:rsidRPr="00DE1EDA">
        <w:rPr>
          <w:rFonts w:cs="Arial"/>
          <w:color w:val="000000" w:themeColor="text1"/>
          <w:szCs w:val="24"/>
        </w:rPr>
        <w:t xml:space="preserve"> </w:t>
      </w:r>
      <w:r>
        <w:rPr>
          <w:rFonts w:cs="Arial"/>
          <w:color w:val="000000" w:themeColor="text1"/>
          <w:szCs w:val="24"/>
        </w:rPr>
        <w:t xml:space="preserve">  </w:t>
      </w:r>
      <w:r w:rsidRPr="00DE1EDA">
        <w:rPr>
          <w:rFonts w:cs="Arial"/>
          <w:color w:val="000000" w:themeColor="text1"/>
          <w:szCs w:val="24"/>
        </w:rPr>
        <w:t>Assessments should ‘</w:t>
      </w:r>
      <w:r w:rsidRPr="00DE1EDA">
        <w:rPr>
          <w:rFonts w:cs="Arial"/>
          <w:color w:val="000000" w:themeColor="text1"/>
          <w:szCs w:val="24"/>
          <w:lang w:val="en"/>
        </w:rPr>
        <w:t>consider relevant evidence relating to persons with protected characteristics in relation to assessments of impact’.</w:t>
      </w:r>
    </w:p>
    <w:p w:rsidR="00177353" w:rsidRPr="00DE1EDA" w:rsidRDefault="00177353" w:rsidP="00177353">
      <w:pPr>
        <w:pStyle w:val="NoSpacing"/>
        <w:rPr>
          <w:rFonts w:cs="Arial"/>
          <w:color w:val="000000" w:themeColor="text1"/>
          <w:szCs w:val="24"/>
        </w:rPr>
      </w:pPr>
    </w:p>
    <w:p w:rsidR="00177353" w:rsidRPr="00DE1EDA" w:rsidRDefault="00177353" w:rsidP="00177353">
      <w:pPr>
        <w:pStyle w:val="NoSpacing"/>
        <w:rPr>
          <w:rFonts w:cs="Arial"/>
          <w:bCs/>
          <w:color w:val="000000" w:themeColor="text1"/>
          <w:szCs w:val="24"/>
        </w:rPr>
      </w:pPr>
      <w:r w:rsidRPr="00DE1EDA">
        <w:rPr>
          <w:rFonts w:cs="Arial"/>
          <w:color w:val="000000" w:themeColor="text1"/>
          <w:szCs w:val="24"/>
        </w:rPr>
        <w:t xml:space="preserve">The purpose of an Equality Impact Assessment (EQIA) </w:t>
      </w:r>
      <w:r w:rsidRPr="00DE1EDA">
        <w:rPr>
          <w:rFonts w:cs="Arial"/>
          <w:bCs/>
          <w:color w:val="000000" w:themeColor="text1"/>
          <w:szCs w:val="24"/>
        </w:rPr>
        <w:t>is to ensure that policies</w:t>
      </w:r>
      <w:r>
        <w:rPr>
          <w:rFonts w:cs="Arial"/>
          <w:bCs/>
          <w:color w:val="000000" w:themeColor="text1"/>
          <w:szCs w:val="24"/>
        </w:rPr>
        <w:t>, functions, plans or decisions (hereafter referred to as ‘policy’)</w:t>
      </w:r>
      <w:r w:rsidRPr="00DE1EDA">
        <w:rPr>
          <w:rFonts w:cs="Arial"/>
          <w:bCs/>
          <w:color w:val="000000" w:themeColor="text1"/>
          <w:szCs w:val="24"/>
        </w:rPr>
        <w:t xml:space="preserve"> do not create unnecessary barriers </w:t>
      </w:r>
      <w:r>
        <w:rPr>
          <w:rFonts w:cs="Arial"/>
          <w:bCs/>
          <w:color w:val="000000" w:themeColor="text1"/>
          <w:szCs w:val="24"/>
        </w:rPr>
        <w:t>for people protected under the Act.  Where negative impacts are identified these should be eliminated or minimised, and opportunities for positive impact should be maximised.</w:t>
      </w:r>
    </w:p>
    <w:p w:rsidR="00177353" w:rsidRDefault="00177353" w:rsidP="00177353">
      <w:pPr>
        <w:autoSpaceDE w:val="0"/>
        <w:autoSpaceDN w:val="0"/>
        <w:adjustRightInd w:val="0"/>
        <w:spacing w:after="0"/>
        <w:rPr>
          <w:lang w:val="en"/>
        </w:rPr>
      </w:pPr>
    </w:p>
    <w:p w:rsidR="00177353" w:rsidRDefault="00177353" w:rsidP="00177353">
      <w:pPr>
        <w:autoSpaceDE w:val="0"/>
        <w:autoSpaceDN w:val="0"/>
        <w:adjustRightInd w:val="0"/>
        <w:spacing w:after="0"/>
        <w:rPr>
          <w:lang w:val="en"/>
        </w:rPr>
      </w:pPr>
      <w:r w:rsidRPr="00604330">
        <w:rPr>
          <w:lang w:val="en"/>
        </w:rPr>
        <w:t>Screening is a short exercise to determine if a policy is relevant to equality and</w:t>
      </w:r>
      <w:r>
        <w:rPr>
          <w:lang w:val="en"/>
        </w:rPr>
        <w:t xml:space="preserve"> whether a full equality impact </w:t>
      </w:r>
      <w:r w:rsidRPr="00604330">
        <w:rPr>
          <w:lang w:val="en"/>
        </w:rPr>
        <w:t>assessment (EQIA)</w:t>
      </w:r>
      <w:r>
        <w:rPr>
          <w:lang w:val="en"/>
        </w:rPr>
        <w:t xml:space="preserve"> should be carried out. </w:t>
      </w:r>
    </w:p>
    <w:p w:rsidR="008B5704" w:rsidRDefault="008B5704" w:rsidP="008B5704">
      <w:pPr>
        <w:autoSpaceDE w:val="0"/>
        <w:autoSpaceDN w:val="0"/>
        <w:adjustRightInd w:val="0"/>
        <w:spacing w:after="0"/>
        <w:rPr>
          <w:rFonts w:cs="Arial"/>
          <w:szCs w:val="24"/>
        </w:rPr>
      </w:pPr>
    </w:p>
    <w:p w:rsidR="00746CAE" w:rsidRDefault="00746CAE" w:rsidP="0042158A">
      <w:pPr>
        <w:spacing w:after="0"/>
        <w:rPr>
          <w:rFonts w:cs="Arial"/>
          <w:szCs w:val="24"/>
        </w:rPr>
      </w:pPr>
    </w:p>
    <w:tbl>
      <w:tblPr>
        <w:tblStyle w:val="TableGrid"/>
        <w:tblW w:w="9356" w:type="dxa"/>
        <w:tblInd w:w="-34" w:type="dxa"/>
        <w:tblLayout w:type="fixed"/>
        <w:tblLook w:val="04A0" w:firstRow="1" w:lastRow="0" w:firstColumn="1" w:lastColumn="0" w:noHBand="0" w:noVBand="1"/>
      </w:tblPr>
      <w:tblGrid>
        <w:gridCol w:w="3327"/>
        <w:gridCol w:w="1493"/>
        <w:gridCol w:w="4536"/>
      </w:tblGrid>
      <w:tr w:rsidR="00746CAE" w:rsidTr="000E3F32">
        <w:tc>
          <w:tcPr>
            <w:tcW w:w="3327" w:type="dxa"/>
          </w:tcPr>
          <w:p w:rsidR="00746CAE" w:rsidRDefault="00746CAE" w:rsidP="004739D1">
            <w:pPr>
              <w:rPr>
                <w:rFonts w:cs="Arial"/>
                <w:szCs w:val="24"/>
              </w:rPr>
            </w:pPr>
            <w:r>
              <w:rPr>
                <w:lang w:val="en"/>
              </w:rPr>
              <w:t>T</w:t>
            </w:r>
            <w:r w:rsidRPr="006578F5">
              <w:rPr>
                <w:lang w:val="en"/>
              </w:rPr>
              <w:t>itle/description of the policy</w:t>
            </w:r>
          </w:p>
        </w:tc>
        <w:tc>
          <w:tcPr>
            <w:tcW w:w="6029" w:type="dxa"/>
            <w:gridSpan w:val="2"/>
          </w:tcPr>
          <w:p w:rsidR="00746CAE" w:rsidRPr="00C1029A" w:rsidRDefault="00C1029A" w:rsidP="002B65C5">
            <w:pPr>
              <w:pStyle w:val="NoSpacing"/>
              <w:spacing w:line="276" w:lineRule="auto"/>
              <w:rPr>
                <w:rFonts w:cs="Arial"/>
                <w:b/>
                <w:szCs w:val="24"/>
              </w:rPr>
            </w:pPr>
            <w:r w:rsidRPr="00C1029A">
              <w:rPr>
                <w:rFonts w:cs="Arial"/>
                <w:b/>
                <w:szCs w:val="24"/>
              </w:rPr>
              <w:t>Local Housing Strategy</w:t>
            </w:r>
          </w:p>
        </w:tc>
      </w:tr>
      <w:tr w:rsidR="00746CAE" w:rsidTr="000E3F32">
        <w:tc>
          <w:tcPr>
            <w:tcW w:w="3327" w:type="dxa"/>
          </w:tcPr>
          <w:p w:rsidR="00746CAE" w:rsidRPr="00746CAE" w:rsidRDefault="00746CAE" w:rsidP="00746CAE">
            <w:pPr>
              <w:pStyle w:val="NoSpacing"/>
              <w:spacing w:after="120"/>
              <w:rPr>
                <w:lang w:val="en"/>
              </w:rPr>
            </w:pPr>
            <w:r w:rsidRPr="006578F5">
              <w:rPr>
                <w:lang w:val="en"/>
              </w:rPr>
              <w:t>Name of the person</w:t>
            </w:r>
            <w:r w:rsidR="001C4C0F">
              <w:rPr>
                <w:lang w:val="en"/>
              </w:rPr>
              <w:t>(s)</w:t>
            </w:r>
            <w:r w:rsidRPr="006578F5">
              <w:rPr>
                <w:lang w:val="en"/>
              </w:rPr>
              <w:t xml:space="preserve"> carrying out the </w:t>
            </w:r>
            <w:r>
              <w:rPr>
                <w:lang w:val="en"/>
              </w:rPr>
              <w:t>assessment</w:t>
            </w:r>
            <w:r w:rsidRPr="006578F5">
              <w:rPr>
                <w:lang w:val="en"/>
              </w:rPr>
              <w:t>?</w:t>
            </w:r>
          </w:p>
        </w:tc>
        <w:tc>
          <w:tcPr>
            <w:tcW w:w="6029" w:type="dxa"/>
            <w:gridSpan w:val="2"/>
          </w:tcPr>
          <w:p w:rsidR="005D5855" w:rsidRDefault="005D5855" w:rsidP="0042158A">
            <w:pPr>
              <w:rPr>
                <w:rFonts w:cs="Arial"/>
                <w:szCs w:val="24"/>
              </w:rPr>
            </w:pPr>
            <w:r>
              <w:rPr>
                <w:rFonts w:cs="Arial"/>
                <w:szCs w:val="24"/>
              </w:rPr>
              <w:t>Shirley MacKenzie, Housing Policy Officer</w:t>
            </w:r>
          </w:p>
          <w:p w:rsidR="00C1029A" w:rsidRDefault="005D5855" w:rsidP="005D5855">
            <w:pPr>
              <w:rPr>
                <w:rFonts w:cs="Arial"/>
                <w:szCs w:val="24"/>
              </w:rPr>
            </w:pPr>
            <w:r>
              <w:rPr>
                <w:rFonts w:cs="Arial"/>
                <w:szCs w:val="24"/>
              </w:rPr>
              <w:t xml:space="preserve">Rosemary MacKinnon, </w:t>
            </w:r>
            <w:r w:rsidRPr="005D5855">
              <w:rPr>
                <w:rFonts w:cs="Arial"/>
                <w:szCs w:val="24"/>
              </w:rPr>
              <w:t>Principal Policy Officer - Equality</w:t>
            </w:r>
          </w:p>
        </w:tc>
      </w:tr>
      <w:tr w:rsidR="00746CAE" w:rsidTr="000E3F32">
        <w:tc>
          <w:tcPr>
            <w:tcW w:w="3327" w:type="dxa"/>
          </w:tcPr>
          <w:p w:rsidR="00746CAE" w:rsidRPr="00746CAE" w:rsidRDefault="00746CAE" w:rsidP="00746CAE">
            <w:pPr>
              <w:pStyle w:val="NoSpacing"/>
              <w:spacing w:after="120"/>
              <w:rPr>
                <w:lang w:val="en"/>
              </w:rPr>
            </w:pPr>
            <w:r>
              <w:rPr>
                <w:lang w:val="en"/>
              </w:rPr>
              <w:t xml:space="preserve">Service and </w:t>
            </w:r>
            <w:r w:rsidR="001C4C0F">
              <w:rPr>
                <w:lang w:val="en"/>
              </w:rPr>
              <w:t>Department</w:t>
            </w:r>
          </w:p>
        </w:tc>
        <w:tc>
          <w:tcPr>
            <w:tcW w:w="6029" w:type="dxa"/>
            <w:gridSpan w:val="2"/>
          </w:tcPr>
          <w:p w:rsidR="00746CAE" w:rsidRDefault="00C1029A" w:rsidP="005D5855">
            <w:pPr>
              <w:rPr>
                <w:rFonts w:cs="Arial"/>
                <w:szCs w:val="24"/>
              </w:rPr>
            </w:pPr>
            <w:r>
              <w:rPr>
                <w:rFonts w:cs="Arial"/>
                <w:szCs w:val="24"/>
              </w:rPr>
              <w:t>Community Services</w:t>
            </w:r>
            <w:r w:rsidR="005D5855">
              <w:rPr>
                <w:rFonts w:cs="Arial"/>
                <w:szCs w:val="24"/>
              </w:rPr>
              <w:t xml:space="preserve"> / Chief Executives</w:t>
            </w:r>
          </w:p>
        </w:tc>
      </w:tr>
      <w:tr w:rsidR="00746CAE" w:rsidTr="000E3F32">
        <w:tc>
          <w:tcPr>
            <w:tcW w:w="3327" w:type="dxa"/>
          </w:tcPr>
          <w:p w:rsidR="00746CAE" w:rsidRPr="006578F5" w:rsidRDefault="001C4C0F" w:rsidP="00746CAE">
            <w:pPr>
              <w:pStyle w:val="NoSpacing"/>
              <w:spacing w:after="120"/>
              <w:rPr>
                <w:lang w:val="en"/>
              </w:rPr>
            </w:pPr>
            <w:r>
              <w:rPr>
                <w:lang w:val="en"/>
              </w:rPr>
              <w:t>Date of assessment</w:t>
            </w:r>
          </w:p>
        </w:tc>
        <w:tc>
          <w:tcPr>
            <w:tcW w:w="6029" w:type="dxa"/>
            <w:gridSpan w:val="2"/>
          </w:tcPr>
          <w:p w:rsidR="00746CAE" w:rsidRDefault="00C1029A" w:rsidP="0042158A">
            <w:pPr>
              <w:rPr>
                <w:rFonts w:cs="Arial"/>
                <w:szCs w:val="24"/>
              </w:rPr>
            </w:pPr>
            <w:r>
              <w:rPr>
                <w:rFonts w:cs="Arial"/>
                <w:szCs w:val="24"/>
              </w:rPr>
              <w:t>1 October 2017</w:t>
            </w:r>
          </w:p>
        </w:tc>
      </w:tr>
      <w:tr w:rsidR="00522380" w:rsidTr="000E3F32">
        <w:tc>
          <w:tcPr>
            <w:tcW w:w="9356" w:type="dxa"/>
            <w:gridSpan w:val="3"/>
          </w:tcPr>
          <w:p w:rsidR="00522380" w:rsidRDefault="00522380" w:rsidP="00EE3CD1">
            <w:pPr>
              <w:rPr>
                <w:rFonts w:cs="Arial"/>
                <w:szCs w:val="24"/>
              </w:rPr>
            </w:pPr>
            <w:r w:rsidRPr="006578F5">
              <w:rPr>
                <w:lang w:val="en"/>
              </w:rPr>
              <w:t>What are the aims and objectives of the policy</w:t>
            </w:r>
            <w:r>
              <w:rPr>
                <w:lang w:val="en"/>
              </w:rPr>
              <w:t>/function/strategy?</w:t>
            </w:r>
          </w:p>
        </w:tc>
      </w:tr>
      <w:tr w:rsidR="00522380" w:rsidTr="000E3F32">
        <w:tc>
          <w:tcPr>
            <w:tcW w:w="9356" w:type="dxa"/>
            <w:gridSpan w:val="3"/>
          </w:tcPr>
          <w:p w:rsidR="00522380" w:rsidRDefault="00522380" w:rsidP="00EE3CD1">
            <w:pPr>
              <w:rPr>
                <w:rFonts w:cs="Arial"/>
                <w:szCs w:val="24"/>
              </w:rPr>
            </w:pPr>
          </w:p>
          <w:p w:rsidR="00C1029A" w:rsidRDefault="00C1029A" w:rsidP="00C1029A">
            <w:pPr>
              <w:jc w:val="both"/>
              <w:rPr>
                <w:rFonts w:cs="Arial"/>
                <w:szCs w:val="24"/>
              </w:rPr>
            </w:pPr>
            <w:r>
              <w:rPr>
                <w:rFonts w:cs="Arial"/>
                <w:szCs w:val="24"/>
              </w:rPr>
              <w:t>The Highland Housing Strategy sets out our aims for housing over the next 5 years and what we will do to:</w:t>
            </w:r>
          </w:p>
          <w:p w:rsidR="00C1029A" w:rsidRDefault="00C1029A" w:rsidP="00C1029A">
            <w:pPr>
              <w:jc w:val="both"/>
              <w:rPr>
                <w:rFonts w:cs="Arial"/>
                <w:szCs w:val="24"/>
              </w:rPr>
            </w:pPr>
          </w:p>
          <w:p w:rsidR="00C1029A" w:rsidRDefault="00C1029A" w:rsidP="00C1029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Arial"/>
              </w:rPr>
            </w:pPr>
            <w:r>
              <w:rPr>
                <w:rFonts w:cs="Arial"/>
              </w:rPr>
              <w:t>Increase the supply of homes in Highland so that we have enough houses in the right places to meet housing needs.</w:t>
            </w:r>
          </w:p>
          <w:p w:rsidR="00C1029A" w:rsidRDefault="00C1029A" w:rsidP="00C1029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Arial"/>
              </w:rPr>
            </w:pPr>
            <w:r>
              <w:rPr>
                <w:rFonts w:cs="Arial"/>
              </w:rPr>
              <w:t>Support people</w:t>
            </w:r>
            <w:r w:rsidRPr="004812C2">
              <w:rPr>
                <w:rFonts w:cs="Arial"/>
              </w:rPr>
              <w:t xml:space="preserve"> to live independently for as long as possible in their own homes and communities.</w:t>
            </w:r>
          </w:p>
          <w:p w:rsidR="00C1029A" w:rsidRDefault="00C1029A" w:rsidP="00C1029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Arial"/>
              </w:rPr>
            </w:pPr>
            <w:r>
              <w:rPr>
                <w:rFonts w:cs="Arial"/>
              </w:rPr>
              <w:t>Prevent and respond to homelessness and make sure people have the right help to let them make decisions on their housing options.</w:t>
            </w:r>
          </w:p>
          <w:p w:rsidR="00C1029A" w:rsidRDefault="00C1029A" w:rsidP="00C1029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Arial"/>
              </w:rPr>
            </w:pPr>
            <w:r>
              <w:rPr>
                <w:rFonts w:cs="Arial"/>
              </w:rPr>
              <w:t xml:space="preserve">Improve the condition of housing and </w:t>
            </w:r>
            <w:proofErr w:type="spellStart"/>
            <w:r>
              <w:rPr>
                <w:rFonts w:cs="Arial"/>
              </w:rPr>
              <w:t>minimise</w:t>
            </w:r>
            <w:proofErr w:type="spellEnd"/>
            <w:r>
              <w:rPr>
                <w:rFonts w:cs="Arial"/>
              </w:rPr>
              <w:t xml:space="preserve"> fuel poverty to improve the quality, comfort and affordability of homes. </w:t>
            </w:r>
          </w:p>
          <w:p w:rsidR="00522380" w:rsidRDefault="00522380" w:rsidP="00EE3CD1">
            <w:pPr>
              <w:rPr>
                <w:rFonts w:cs="Arial"/>
                <w:szCs w:val="24"/>
              </w:rPr>
            </w:pPr>
          </w:p>
          <w:p w:rsidR="00196E36" w:rsidRDefault="00196E36" w:rsidP="00EE3CD1">
            <w:pPr>
              <w:rPr>
                <w:szCs w:val="24"/>
              </w:rPr>
            </w:pPr>
            <w:r w:rsidRPr="00196E36">
              <w:rPr>
                <w:szCs w:val="24"/>
              </w:rPr>
              <w:t xml:space="preserve">The Local Housing Strategy </w:t>
            </w:r>
            <w:r>
              <w:rPr>
                <w:szCs w:val="24"/>
              </w:rPr>
              <w:t xml:space="preserve">also </w:t>
            </w:r>
            <w:r w:rsidRPr="00196E36">
              <w:rPr>
                <w:szCs w:val="24"/>
              </w:rPr>
              <w:t>has a clear contribution to make to support the delivery of the Highland Local Outcome Improvement Plan and to reduce inequalities. It is also likely to support the delivery of local priorities as set out in the Locality Plans as they are developed.</w:t>
            </w:r>
          </w:p>
          <w:p w:rsidR="002E48D1" w:rsidRDefault="002E48D1" w:rsidP="00EE3CD1">
            <w:pPr>
              <w:rPr>
                <w:szCs w:val="24"/>
              </w:rPr>
            </w:pPr>
          </w:p>
          <w:p w:rsidR="002E48D1" w:rsidRPr="00196E36" w:rsidRDefault="002E48D1" w:rsidP="00EE3CD1">
            <w:pPr>
              <w:rPr>
                <w:rFonts w:cs="Arial"/>
                <w:szCs w:val="24"/>
              </w:rPr>
            </w:pPr>
            <w:r>
              <w:rPr>
                <w:szCs w:val="24"/>
              </w:rPr>
              <w:lastRenderedPageBreak/>
              <w:t xml:space="preserve">The Strategy is delivered through a range of supporting Housing Policies </w:t>
            </w:r>
            <w:proofErr w:type="gramStart"/>
            <w:r>
              <w:rPr>
                <w:szCs w:val="24"/>
              </w:rPr>
              <w:t xml:space="preserve">( </w:t>
            </w:r>
            <w:proofErr w:type="spellStart"/>
            <w:r>
              <w:rPr>
                <w:szCs w:val="24"/>
              </w:rPr>
              <w:t>eg</w:t>
            </w:r>
            <w:proofErr w:type="spellEnd"/>
            <w:proofErr w:type="gramEnd"/>
            <w:r>
              <w:rPr>
                <w:szCs w:val="24"/>
              </w:rPr>
              <w:t xml:space="preserve"> Allocations, Homelessness, Adaptations) and which </w:t>
            </w:r>
            <w:r>
              <w:rPr>
                <w:rFonts w:cs="Arial"/>
                <w:szCs w:val="24"/>
                <w:lang w:eastAsia="en-US"/>
              </w:rPr>
              <w:t xml:space="preserve">have been assessed for equality impact. </w:t>
            </w:r>
          </w:p>
          <w:p w:rsidR="00522380" w:rsidRDefault="00522380" w:rsidP="00EE3CD1">
            <w:pPr>
              <w:rPr>
                <w:rFonts w:cs="Arial"/>
                <w:szCs w:val="24"/>
              </w:rPr>
            </w:pPr>
          </w:p>
        </w:tc>
      </w:tr>
      <w:tr w:rsidR="004739D1" w:rsidTr="000E3F32">
        <w:tc>
          <w:tcPr>
            <w:tcW w:w="3327" w:type="dxa"/>
          </w:tcPr>
          <w:p w:rsidR="004739D1" w:rsidRPr="006578F5" w:rsidRDefault="004739D1" w:rsidP="00746CAE">
            <w:pPr>
              <w:pStyle w:val="NoSpacing"/>
              <w:spacing w:after="120"/>
              <w:rPr>
                <w:lang w:val="en"/>
              </w:rPr>
            </w:pPr>
            <w:r>
              <w:rPr>
                <w:lang w:val="en"/>
              </w:rPr>
              <w:lastRenderedPageBreak/>
              <w:t>Who may be affected by the policy</w:t>
            </w:r>
          </w:p>
        </w:tc>
        <w:tc>
          <w:tcPr>
            <w:tcW w:w="6029" w:type="dxa"/>
            <w:gridSpan w:val="2"/>
          </w:tcPr>
          <w:p w:rsidR="003A6E16" w:rsidRPr="00025CCC" w:rsidRDefault="00025CCC" w:rsidP="00025CCC">
            <w:pPr>
              <w:pStyle w:val="ListParagraph"/>
              <w:numPr>
                <w:ilvl w:val="0"/>
                <w:numId w:val="14"/>
              </w:numPr>
              <w:ind w:left="459" w:hanging="425"/>
              <w:rPr>
                <w:rFonts w:cs="Arial"/>
              </w:rPr>
            </w:pPr>
            <w:r w:rsidRPr="00025CCC">
              <w:rPr>
                <w:rFonts w:cs="Arial"/>
              </w:rPr>
              <w:t>Those who live in or who want to live in the Highland Council Area.</w:t>
            </w:r>
          </w:p>
          <w:p w:rsidR="00025CCC" w:rsidRPr="00025CCC" w:rsidRDefault="00025CCC" w:rsidP="00025CCC">
            <w:pPr>
              <w:pStyle w:val="ListParagraph"/>
              <w:numPr>
                <w:ilvl w:val="0"/>
                <w:numId w:val="14"/>
              </w:numPr>
              <w:ind w:left="459" w:hanging="425"/>
              <w:rPr>
                <w:rFonts w:cs="Arial"/>
              </w:rPr>
            </w:pPr>
            <w:r w:rsidRPr="00025CCC">
              <w:rPr>
                <w:rFonts w:cs="Arial"/>
              </w:rPr>
              <w:t>People whose current housing does not meet their needs.</w:t>
            </w:r>
          </w:p>
          <w:p w:rsidR="00025CCC" w:rsidRPr="00025CCC" w:rsidRDefault="00025CCC" w:rsidP="00025CCC">
            <w:pPr>
              <w:pStyle w:val="ListParagraph"/>
              <w:numPr>
                <w:ilvl w:val="0"/>
                <w:numId w:val="14"/>
              </w:numPr>
              <w:ind w:left="459" w:hanging="425"/>
              <w:rPr>
                <w:rFonts w:cs="Arial"/>
              </w:rPr>
            </w:pPr>
            <w:r w:rsidRPr="00025CCC">
              <w:rPr>
                <w:rFonts w:cs="Arial"/>
              </w:rPr>
              <w:t>People living in poor quality or substandard housing.</w:t>
            </w:r>
          </w:p>
          <w:p w:rsidR="00025CCC" w:rsidRPr="00025CCC" w:rsidRDefault="00025CCC" w:rsidP="00025CCC">
            <w:pPr>
              <w:pStyle w:val="ListParagraph"/>
              <w:numPr>
                <w:ilvl w:val="0"/>
                <w:numId w:val="14"/>
              </w:numPr>
              <w:ind w:left="459" w:hanging="425"/>
              <w:rPr>
                <w:rFonts w:cs="Arial"/>
              </w:rPr>
            </w:pPr>
            <w:r w:rsidRPr="00025CCC">
              <w:rPr>
                <w:rFonts w:cs="Arial"/>
              </w:rPr>
              <w:t>People who are homeless or at risk of homelessness.</w:t>
            </w:r>
          </w:p>
          <w:p w:rsidR="00025CCC" w:rsidRDefault="00025CCC" w:rsidP="00C447E4">
            <w:pPr>
              <w:rPr>
                <w:rFonts w:cs="Arial"/>
                <w:szCs w:val="24"/>
              </w:rPr>
            </w:pPr>
          </w:p>
        </w:tc>
      </w:tr>
      <w:tr w:rsidR="004739D1" w:rsidTr="000E3F32">
        <w:tc>
          <w:tcPr>
            <w:tcW w:w="3327" w:type="dxa"/>
          </w:tcPr>
          <w:p w:rsidR="004739D1" w:rsidRPr="006578F5" w:rsidRDefault="004739D1" w:rsidP="004739D1">
            <w:pPr>
              <w:pStyle w:val="NoSpacing"/>
              <w:spacing w:after="120"/>
              <w:rPr>
                <w:lang w:val="en"/>
              </w:rPr>
            </w:pPr>
            <w:r>
              <w:rPr>
                <w:lang w:val="en"/>
              </w:rPr>
              <w:t>How have stakeholders been involved in the development of the policy?</w:t>
            </w:r>
          </w:p>
        </w:tc>
        <w:tc>
          <w:tcPr>
            <w:tcW w:w="6029" w:type="dxa"/>
            <w:gridSpan w:val="2"/>
          </w:tcPr>
          <w:p w:rsidR="009729D0" w:rsidRDefault="00025CCC" w:rsidP="00025CC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459" w:hanging="425"/>
              <w:rPr>
                <w:rFonts w:cs="Arial"/>
              </w:rPr>
            </w:pPr>
            <w:r>
              <w:rPr>
                <w:rFonts w:cs="Arial"/>
              </w:rPr>
              <w:t>Discussion with stakeholders through Housing Strategy Group</w:t>
            </w:r>
          </w:p>
          <w:p w:rsidR="00025CCC" w:rsidRDefault="00025CCC" w:rsidP="00025CC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459" w:hanging="425"/>
              <w:rPr>
                <w:rFonts w:cs="Arial"/>
              </w:rPr>
            </w:pPr>
            <w:r>
              <w:rPr>
                <w:rFonts w:cs="Arial"/>
              </w:rPr>
              <w:t xml:space="preserve">Public consultation through a series of drop in sessions and via Council website. </w:t>
            </w:r>
          </w:p>
        </w:tc>
      </w:tr>
      <w:tr w:rsidR="00646A49" w:rsidTr="000E3F32">
        <w:tc>
          <w:tcPr>
            <w:tcW w:w="9356" w:type="dxa"/>
            <w:gridSpan w:val="3"/>
          </w:tcPr>
          <w:p w:rsidR="00646A49" w:rsidRDefault="00646A49" w:rsidP="008B5704">
            <w:pPr>
              <w:rPr>
                <w:i/>
                <w:lang w:val="en"/>
              </w:rPr>
            </w:pPr>
            <w:r w:rsidRPr="00646A49">
              <w:rPr>
                <w:i/>
                <w:lang w:val="en"/>
              </w:rPr>
              <w:t>Which parts of the public sector duty is the policy relevant to?</w:t>
            </w:r>
          </w:p>
          <w:p w:rsidR="00646A49" w:rsidRPr="00646A49" w:rsidRDefault="00646A49" w:rsidP="008B5704">
            <w:pPr>
              <w:rPr>
                <w:rFonts w:cs="Arial"/>
                <w:i/>
                <w:szCs w:val="24"/>
              </w:rPr>
            </w:pPr>
          </w:p>
        </w:tc>
      </w:tr>
      <w:bookmarkEnd w:id="0"/>
      <w:tr w:rsidR="00DF315E" w:rsidTr="000E3F32">
        <w:tc>
          <w:tcPr>
            <w:tcW w:w="3327" w:type="dxa"/>
          </w:tcPr>
          <w:p w:rsidR="00DF315E" w:rsidRPr="00436048" w:rsidRDefault="00DF315E" w:rsidP="00DF315E">
            <w:pPr>
              <w:pStyle w:val="ListParagraph"/>
              <w:numPr>
                <w:ilvl w:val="0"/>
                <w:numId w:val="10"/>
              </w:numPr>
              <w:rPr>
                <w:bCs/>
              </w:rPr>
            </w:pPr>
            <w:r w:rsidRPr="00436048">
              <w:rPr>
                <w:bCs/>
                <w:lang w:val="en-GB"/>
              </w:rPr>
              <w:t>Eliminate unlawful discrimination</w:t>
            </w:r>
          </w:p>
        </w:tc>
        <w:tc>
          <w:tcPr>
            <w:tcW w:w="1493" w:type="dxa"/>
          </w:tcPr>
          <w:p w:rsidR="00DF315E" w:rsidRDefault="00BD6C38" w:rsidP="00E3017D">
            <w:pPr>
              <w:ind w:firstLine="393"/>
            </w:pPr>
            <w:r>
              <w:sym w:font="Wingdings" w:char="F0FC"/>
            </w:r>
          </w:p>
        </w:tc>
        <w:tc>
          <w:tcPr>
            <w:tcW w:w="4536" w:type="dxa"/>
          </w:tcPr>
          <w:p w:rsidR="00DF315E" w:rsidRDefault="00196E36" w:rsidP="00196E36">
            <w:r>
              <w:t>To ensure</w:t>
            </w:r>
            <w:r w:rsidR="00BD6C38">
              <w:t xml:space="preserve"> no u</w:t>
            </w:r>
            <w:r>
              <w:t xml:space="preserve">nfair </w:t>
            </w:r>
            <w:r w:rsidR="00BD6C38">
              <w:t>treatment in respect of Housing Strategy aims</w:t>
            </w:r>
          </w:p>
        </w:tc>
      </w:tr>
      <w:tr w:rsidR="00DF315E" w:rsidTr="000E3F32">
        <w:tc>
          <w:tcPr>
            <w:tcW w:w="3327" w:type="dxa"/>
          </w:tcPr>
          <w:p w:rsidR="00DF315E" w:rsidRPr="00436048" w:rsidRDefault="00DF315E" w:rsidP="00DF315E">
            <w:pPr>
              <w:pStyle w:val="ListParagraph"/>
              <w:numPr>
                <w:ilvl w:val="0"/>
                <w:numId w:val="10"/>
              </w:numPr>
              <w:rPr>
                <w:bCs/>
              </w:rPr>
            </w:pPr>
            <w:r w:rsidRPr="00436048">
              <w:rPr>
                <w:bCs/>
                <w:lang w:val="en-GB"/>
              </w:rPr>
              <w:t>Advance equality</w:t>
            </w:r>
          </w:p>
        </w:tc>
        <w:tc>
          <w:tcPr>
            <w:tcW w:w="1493" w:type="dxa"/>
          </w:tcPr>
          <w:p w:rsidR="00DF315E" w:rsidRPr="000E3F32" w:rsidRDefault="00BD6C38" w:rsidP="00BD6C38">
            <w:pPr>
              <w:pBdr>
                <w:top w:val="nil"/>
                <w:left w:val="nil"/>
                <w:bottom w:val="nil"/>
                <w:right w:val="nil"/>
                <w:between w:val="nil"/>
                <w:bar w:val="nil"/>
              </w:pBdr>
              <w:ind w:firstLine="393"/>
            </w:pPr>
            <w:r>
              <w:sym w:font="Wingdings" w:char="F0FC"/>
            </w:r>
          </w:p>
        </w:tc>
        <w:tc>
          <w:tcPr>
            <w:tcW w:w="4536" w:type="dxa"/>
          </w:tcPr>
          <w:p w:rsidR="0066744C" w:rsidRDefault="00BD6C38" w:rsidP="003F07DA">
            <w:r>
              <w:t>Opportunities to promote and advance equality</w:t>
            </w:r>
          </w:p>
        </w:tc>
      </w:tr>
      <w:tr w:rsidR="00DF315E" w:rsidTr="000E3F32">
        <w:tc>
          <w:tcPr>
            <w:tcW w:w="3327" w:type="dxa"/>
          </w:tcPr>
          <w:p w:rsidR="00DF315E" w:rsidRPr="003B144D" w:rsidRDefault="00DF315E" w:rsidP="00DF315E">
            <w:pPr>
              <w:pStyle w:val="ListParagraph"/>
              <w:numPr>
                <w:ilvl w:val="0"/>
                <w:numId w:val="10"/>
              </w:numPr>
            </w:pPr>
            <w:r w:rsidRPr="00436048">
              <w:rPr>
                <w:bCs/>
                <w:lang w:val="en-GB"/>
              </w:rPr>
              <w:t>Promote good relations</w:t>
            </w:r>
          </w:p>
        </w:tc>
        <w:tc>
          <w:tcPr>
            <w:tcW w:w="1493" w:type="dxa"/>
          </w:tcPr>
          <w:p w:rsidR="00DF315E" w:rsidRPr="00B92D04" w:rsidRDefault="00BD6C38" w:rsidP="00E3017D">
            <w:pPr>
              <w:ind w:left="720" w:hanging="327"/>
            </w:pPr>
            <w:r>
              <w:sym w:font="Wingdings" w:char="F0FC"/>
            </w:r>
          </w:p>
        </w:tc>
        <w:tc>
          <w:tcPr>
            <w:tcW w:w="4536" w:type="dxa"/>
          </w:tcPr>
          <w:p w:rsidR="005B6980" w:rsidRDefault="00125962" w:rsidP="003F07DA">
            <w:r>
              <w:t>Housing is a key area in respect of working with communities</w:t>
            </w:r>
          </w:p>
        </w:tc>
      </w:tr>
    </w:tbl>
    <w:p w:rsidR="007D5762" w:rsidRDefault="007D5762" w:rsidP="007D5762">
      <w:pPr>
        <w:rPr>
          <w:b/>
          <w:bCs/>
        </w:rPr>
      </w:pPr>
    </w:p>
    <w:p w:rsidR="007D5762" w:rsidRPr="007D5762" w:rsidRDefault="007B5512" w:rsidP="007D5762">
      <w:pPr>
        <w:rPr>
          <w:i/>
        </w:rPr>
      </w:pPr>
      <w:r>
        <w:rPr>
          <w:b/>
          <w:bCs/>
          <w:i/>
        </w:rPr>
        <w:t xml:space="preserve">Screening: </w:t>
      </w:r>
      <w:r w:rsidR="007D5762" w:rsidRPr="007D5762">
        <w:rPr>
          <w:b/>
          <w:bCs/>
          <w:i/>
        </w:rPr>
        <w:t>Which of the protected characteristics is the policy relevant to?</w:t>
      </w:r>
      <w:r w:rsidR="007D5762" w:rsidRPr="007D5762">
        <w:rPr>
          <w:i/>
        </w:rPr>
        <w:t xml:space="preserve"> Tick and briefly describe any likely equalities impact (positive/negative/neutral). </w:t>
      </w:r>
    </w:p>
    <w:tbl>
      <w:tblPr>
        <w:tblStyle w:val="TableGrid"/>
        <w:tblW w:w="9253" w:type="dxa"/>
        <w:tblLook w:val="04A0" w:firstRow="1" w:lastRow="0" w:firstColumn="1" w:lastColumn="0" w:noHBand="0" w:noVBand="1"/>
      </w:tblPr>
      <w:tblGrid>
        <w:gridCol w:w="2652"/>
        <w:gridCol w:w="1060"/>
        <w:gridCol w:w="1134"/>
        <w:gridCol w:w="1074"/>
        <w:gridCol w:w="3333"/>
      </w:tblGrid>
      <w:tr w:rsidR="007D5762" w:rsidRPr="00F5769F" w:rsidTr="00B92D04">
        <w:tc>
          <w:tcPr>
            <w:tcW w:w="2652" w:type="dxa"/>
          </w:tcPr>
          <w:p w:rsidR="007D5762" w:rsidRPr="00F5769F" w:rsidRDefault="007D5762" w:rsidP="003F07DA">
            <w:pPr>
              <w:rPr>
                <w:b/>
                <w:sz w:val="22"/>
              </w:rPr>
            </w:pPr>
            <w:r w:rsidRPr="00F5769F">
              <w:rPr>
                <w:b/>
                <w:sz w:val="22"/>
              </w:rPr>
              <w:t>Characteristic</w:t>
            </w:r>
          </w:p>
        </w:tc>
        <w:tc>
          <w:tcPr>
            <w:tcW w:w="1060" w:type="dxa"/>
          </w:tcPr>
          <w:p w:rsidR="007D5762" w:rsidRPr="00F5769F" w:rsidRDefault="007D5762" w:rsidP="003F07DA">
            <w:pPr>
              <w:jc w:val="center"/>
              <w:rPr>
                <w:b/>
                <w:sz w:val="22"/>
              </w:rPr>
            </w:pPr>
            <w:r w:rsidRPr="00F5769F">
              <w:rPr>
                <w:b/>
                <w:sz w:val="22"/>
              </w:rPr>
              <w:t>Positive</w:t>
            </w:r>
          </w:p>
        </w:tc>
        <w:tc>
          <w:tcPr>
            <w:tcW w:w="1134" w:type="dxa"/>
          </w:tcPr>
          <w:p w:rsidR="007D5762" w:rsidRPr="00F5769F" w:rsidRDefault="007D5762" w:rsidP="003F07DA">
            <w:pPr>
              <w:jc w:val="center"/>
              <w:rPr>
                <w:b/>
                <w:sz w:val="22"/>
              </w:rPr>
            </w:pPr>
            <w:r w:rsidRPr="00F5769F">
              <w:rPr>
                <w:b/>
                <w:sz w:val="22"/>
              </w:rPr>
              <w:t>Negative</w:t>
            </w:r>
          </w:p>
        </w:tc>
        <w:tc>
          <w:tcPr>
            <w:tcW w:w="1074" w:type="dxa"/>
          </w:tcPr>
          <w:p w:rsidR="007D5762" w:rsidRPr="00F5769F" w:rsidRDefault="007D5762" w:rsidP="003F07DA">
            <w:pPr>
              <w:jc w:val="center"/>
              <w:rPr>
                <w:b/>
                <w:sz w:val="22"/>
              </w:rPr>
            </w:pPr>
            <w:r w:rsidRPr="00F5769F">
              <w:rPr>
                <w:b/>
                <w:sz w:val="22"/>
              </w:rPr>
              <w:t>Neutral</w:t>
            </w:r>
          </w:p>
        </w:tc>
        <w:tc>
          <w:tcPr>
            <w:tcW w:w="3333" w:type="dxa"/>
          </w:tcPr>
          <w:p w:rsidR="007D5762" w:rsidRPr="00F5769F" w:rsidRDefault="007D5762" w:rsidP="003F07DA">
            <w:pPr>
              <w:jc w:val="center"/>
              <w:rPr>
                <w:b/>
                <w:sz w:val="22"/>
              </w:rPr>
            </w:pPr>
            <w:r w:rsidRPr="00F5769F">
              <w:rPr>
                <w:b/>
                <w:sz w:val="22"/>
              </w:rPr>
              <w:t>comments</w:t>
            </w:r>
          </w:p>
        </w:tc>
      </w:tr>
      <w:tr w:rsidR="007D5762" w:rsidTr="00B05836">
        <w:tc>
          <w:tcPr>
            <w:tcW w:w="2652" w:type="dxa"/>
          </w:tcPr>
          <w:p w:rsidR="007D5762" w:rsidRDefault="007D5762" w:rsidP="003F07DA">
            <w:r>
              <w:t>Gender</w:t>
            </w:r>
          </w:p>
          <w:p w:rsidR="007D5762" w:rsidRDefault="007D5762" w:rsidP="003F07DA"/>
        </w:tc>
        <w:tc>
          <w:tcPr>
            <w:tcW w:w="1060" w:type="dxa"/>
            <w:vAlign w:val="center"/>
          </w:tcPr>
          <w:p w:rsidR="007D5762" w:rsidRPr="00B05836" w:rsidRDefault="00125962" w:rsidP="00B05836">
            <w:pPr>
              <w:ind w:left="284"/>
              <w:rPr>
                <w:szCs w:val="24"/>
              </w:rPr>
            </w:pPr>
            <w:r w:rsidRPr="00B05836">
              <w:rPr>
                <w:szCs w:val="24"/>
              </w:rPr>
              <w:sym w:font="Wingdings" w:char="F0FC"/>
            </w:r>
          </w:p>
        </w:tc>
        <w:tc>
          <w:tcPr>
            <w:tcW w:w="1134" w:type="dxa"/>
            <w:vAlign w:val="center"/>
          </w:tcPr>
          <w:p w:rsidR="007D5762" w:rsidRPr="00B05836" w:rsidRDefault="007D5762" w:rsidP="00B05836">
            <w:pPr>
              <w:rPr>
                <w:szCs w:val="24"/>
              </w:rPr>
            </w:pPr>
          </w:p>
        </w:tc>
        <w:tc>
          <w:tcPr>
            <w:tcW w:w="1074" w:type="dxa"/>
            <w:vAlign w:val="center"/>
          </w:tcPr>
          <w:p w:rsidR="007D5762" w:rsidRPr="00125962" w:rsidRDefault="007D5762" w:rsidP="00B05836">
            <w:pPr>
              <w:tabs>
                <w:tab w:val="left" w:pos="116"/>
                <w:tab w:val="left" w:pos="590"/>
              </w:tabs>
              <w:ind w:left="142"/>
              <w:rPr>
                <w:bCs/>
              </w:rPr>
            </w:pPr>
          </w:p>
        </w:tc>
        <w:tc>
          <w:tcPr>
            <w:tcW w:w="3333" w:type="dxa"/>
          </w:tcPr>
          <w:p w:rsidR="007D5762" w:rsidRDefault="003E11D1" w:rsidP="003F07DA">
            <w:r>
              <w:t>Role of Housing in tackling d</w:t>
            </w:r>
            <w:r w:rsidR="00125962">
              <w:t>omestic abuse/Violence Against Women</w:t>
            </w:r>
          </w:p>
        </w:tc>
      </w:tr>
      <w:tr w:rsidR="007D5762" w:rsidTr="00B05836">
        <w:tc>
          <w:tcPr>
            <w:tcW w:w="2652" w:type="dxa"/>
          </w:tcPr>
          <w:p w:rsidR="007D5762" w:rsidRDefault="007D5762" w:rsidP="003F07DA">
            <w:r>
              <w:t>Age</w:t>
            </w:r>
          </w:p>
          <w:p w:rsidR="007D5762" w:rsidRDefault="007D5762" w:rsidP="003F07DA"/>
        </w:tc>
        <w:tc>
          <w:tcPr>
            <w:tcW w:w="1060" w:type="dxa"/>
            <w:vAlign w:val="center"/>
          </w:tcPr>
          <w:p w:rsidR="007D5762" w:rsidRPr="00B05836" w:rsidRDefault="00B05836" w:rsidP="00B05836">
            <w:pPr>
              <w:ind w:left="142"/>
              <w:rPr>
                <w:szCs w:val="24"/>
              </w:rPr>
            </w:pPr>
            <w:r w:rsidRPr="00B05836">
              <w:rPr>
                <w:szCs w:val="24"/>
              </w:rPr>
              <w:sym w:font="Wingdings" w:char="F0FC"/>
            </w:r>
          </w:p>
          <w:p w:rsidR="00B05836" w:rsidRPr="00B05836" w:rsidRDefault="00B05836" w:rsidP="00B05836">
            <w:pPr>
              <w:ind w:left="142"/>
              <w:rPr>
                <w:rFonts w:cs="Arial"/>
                <w:szCs w:val="24"/>
              </w:rPr>
            </w:pPr>
          </w:p>
        </w:tc>
        <w:tc>
          <w:tcPr>
            <w:tcW w:w="1134" w:type="dxa"/>
            <w:vAlign w:val="center"/>
          </w:tcPr>
          <w:p w:rsidR="007D5762" w:rsidRPr="00B05836" w:rsidRDefault="007D5762" w:rsidP="00B05836">
            <w:pPr>
              <w:rPr>
                <w:szCs w:val="24"/>
              </w:rPr>
            </w:pPr>
          </w:p>
        </w:tc>
        <w:tc>
          <w:tcPr>
            <w:tcW w:w="1074" w:type="dxa"/>
            <w:vAlign w:val="center"/>
          </w:tcPr>
          <w:p w:rsidR="007D5762" w:rsidRDefault="007D5762" w:rsidP="00B05836">
            <w:pPr>
              <w:pStyle w:val="ListParagraph"/>
              <w:ind w:left="0"/>
              <w:rPr>
                <w:bCs/>
                <w:lang w:val="en-GB"/>
              </w:rPr>
            </w:pPr>
          </w:p>
        </w:tc>
        <w:tc>
          <w:tcPr>
            <w:tcW w:w="3333" w:type="dxa"/>
          </w:tcPr>
          <w:p w:rsidR="00CC751E" w:rsidRDefault="00CD108D" w:rsidP="003F07DA">
            <w:r>
              <w:t>Highland has an aging population</w:t>
            </w:r>
            <w:r w:rsidR="00145318">
              <w:t>.</w:t>
            </w:r>
            <w:r>
              <w:t xml:space="preserve"> </w:t>
            </w:r>
          </w:p>
          <w:p w:rsidR="00C42D2E" w:rsidRDefault="00145318" w:rsidP="00145318">
            <w:r w:rsidRPr="00A15880">
              <w:rPr>
                <w:szCs w:val="23"/>
              </w:rPr>
              <w:t>P</w:t>
            </w:r>
            <w:r w:rsidR="00C42D2E" w:rsidRPr="00A15880">
              <w:rPr>
                <w:szCs w:val="23"/>
              </w:rPr>
              <w:t>articular housing needs</w:t>
            </w:r>
            <w:r w:rsidRPr="00A15880">
              <w:rPr>
                <w:szCs w:val="23"/>
              </w:rPr>
              <w:t xml:space="preserve"> of young people.</w:t>
            </w:r>
          </w:p>
        </w:tc>
      </w:tr>
      <w:tr w:rsidR="007D5762" w:rsidTr="00B05836">
        <w:tc>
          <w:tcPr>
            <w:tcW w:w="2652" w:type="dxa"/>
          </w:tcPr>
          <w:p w:rsidR="007D5762" w:rsidRDefault="007D5762" w:rsidP="003F07DA">
            <w:r>
              <w:t>Disability</w:t>
            </w:r>
          </w:p>
          <w:p w:rsidR="007D5762" w:rsidRDefault="007D5762" w:rsidP="003F07DA"/>
        </w:tc>
        <w:tc>
          <w:tcPr>
            <w:tcW w:w="1060" w:type="dxa"/>
            <w:vAlign w:val="center"/>
          </w:tcPr>
          <w:p w:rsidR="00B05836" w:rsidRPr="00B05836" w:rsidRDefault="00B05836" w:rsidP="00B05836">
            <w:pPr>
              <w:ind w:left="142"/>
              <w:rPr>
                <w:szCs w:val="24"/>
              </w:rPr>
            </w:pPr>
            <w:r w:rsidRPr="00B05836">
              <w:rPr>
                <w:szCs w:val="24"/>
              </w:rPr>
              <w:sym w:font="Wingdings" w:char="F0FC"/>
            </w:r>
          </w:p>
          <w:p w:rsidR="007D5762" w:rsidRPr="000E3F32" w:rsidRDefault="007D5762" w:rsidP="00B05836">
            <w:pPr>
              <w:pStyle w:val="ListParagraph"/>
              <w:ind w:left="183"/>
              <w:rPr>
                <w:rFonts w:ascii="Wingdings" w:hAnsi="Wingdings"/>
                <w:b/>
              </w:rPr>
            </w:pPr>
          </w:p>
        </w:tc>
        <w:tc>
          <w:tcPr>
            <w:tcW w:w="1134" w:type="dxa"/>
            <w:vAlign w:val="center"/>
          </w:tcPr>
          <w:p w:rsidR="007D5762" w:rsidRDefault="007D5762" w:rsidP="00B05836"/>
        </w:tc>
        <w:tc>
          <w:tcPr>
            <w:tcW w:w="1074" w:type="dxa"/>
            <w:vAlign w:val="center"/>
          </w:tcPr>
          <w:p w:rsidR="007D5762" w:rsidRDefault="007D5762" w:rsidP="00B05836"/>
        </w:tc>
        <w:tc>
          <w:tcPr>
            <w:tcW w:w="3333" w:type="dxa"/>
          </w:tcPr>
          <w:p w:rsidR="007B5512" w:rsidRDefault="00145318" w:rsidP="00145318">
            <w:r>
              <w:t>Need for accessible/ adaptable housing and appropriate accommodation to meet needs of disabled people.</w:t>
            </w:r>
          </w:p>
        </w:tc>
      </w:tr>
      <w:tr w:rsidR="007D5762" w:rsidTr="00B05836">
        <w:tc>
          <w:tcPr>
            <w:tcW w:w="2652" w:type="dxa"/>
          </w:tcPr>
          <w:p w:rsidR="007D5762" w:rsidRDefault="007D5762" w:rsidP="003F07DA">
            <w:r>
              <w:t>Religion Belief</w:t>
            </w:r>
          </w:p>
          <w:p w:rsidR="007D5762" w:rsidRDefault="007D5762" w:rsidP="003F07DA"/>
        </w:tc>
        <w:tc>
          <w:tcPr>
            <w:tcW w:w="1060" w:type="dxa"/>
            <w:vAlign w:val="center"/>
          </w:tcPr>
          <w:p w:rsidR="007D5762" w:rsidRDefault="007D5762" w:rsidP="00B05836"/>
        </w:tc>
        <w:tc>
          <w:tcPr>
            <w:tcW w:w="1134" w:type="dxa"/>
            <w:vAlign w:val="center"/>
          </w:tcPr>
          <w:p w:rsidR="007D5762" w:rsidRDefault="007D5762" w:rsidP="00B05836"/>
        </w:tc>
        <w:tc>
          <w:tcPr>
            <w:tcW w:w="1074" w:type="dxa"/>
            <w:vAlign w:val="center"/>
          </w:tcPr>
          <w:p w:rsidR="00B05836" w:rsidRPr="00B05836" w:rsidRDefault="00B05836" w:rsidP="00B05836">
            <w:pPr>
              <w:ind w:left="142"/>
              <w:rPr>
                <w:szCs w:val="24"/>
              </w:rPr>
            </w:pPr>
            <w:r w:rsidRPr="00B05836">
              <w:rPr>
                <w:szCs w:val="24"/>
              </w:rPr>
              <w:sym w:font="Wingdings" w:char="F0FC"/>
            </w:r>
          </w:p>
          <w:p w:rsidR="007D5762" w:rsidRPr="000E3F32" w:rsidRDefault="007D5762" w:rsidP="00B05836">
            <w:pPr>
              <w:ind w:left="142"/>
            </w:pPr>
          </w:p>
        </w:tc>
        <w:tc>
          <w:tcPr>
            <w:tcW w:w="3333" w:type="dxa"/>
          </w:tcPr>
          <w:p w:rsidR="007D5762" w:rsidRDefault="00C42D2E" w:rsidP="003F07DA">
            <w:r>
              <w:t>No evidence of specific impact</w:t>
            </w:r>
          </w:p>
        </w:tc>
      </w:tr>
      <w:tr w:rsidR="007D5762" w:rsidTr="00145318">
        <w:tc>
          <w:tcPr>
            <w:tcW w:w="2652" w:type="dxa"/>
          </w:tcPr>
          <w:p w:rsidR="007D5762" w:rsidRDefault="007D5762" w:rsidP="003F07DA">
            <w:r>
              <w:t>Race</w:t>
            </w:r>
          </w:p>
          <w:p w:rsidR="007D5762" w:rsidRDefault="007D5762" w:rsidP="003F07DA"/>
        </w:tc>
        <w:tc>
          <w:tcPr>
            <w:tcW w:w="1060" w:type="dxa"/>
            <w:vAlign w:val="center"/>
          </w:tcPr>
          <w:p w:rsidR="00B05836" w:rsidRPr="00B05836" w:rsidRDefault="00B05836" w:rsidP="00145318">
            <w:pPr>
              <w:ind w:left="142"/>
              <w:rPr>
                <w:szCs w:val="24"/>
              </w:rPr>
            </w:pPr>
            <w:r w:rsidRPr="00B05836">
              <w:rPr>
                <w:szCs w:val="24"/>
              </w:rPr>
              <w:sym w:font="Wingdings" w:char="F0FC"/>
            </w:r>
          </w:p>
          <w:p w:rsidR="007D5762" w:rsidRDefault="007D5762" w:rsidP="00145318"/>
        </w:tc>
        <w:tc>
          <w:tcPr>
            <w:tcW w:w="1134" w:type="dxa"/>
            <w:vAlign w:val="center"/>
          </w:tcPr>
          <w:p w:rsidR="007D5762" w:rsidRDefault="007D5762" w:rsidP="00B05836"/>
        </w:tc>
        <w:tc>
          <w:tcPr>
            <w:tcW w:w="1074" w:type="dxa"/>
            <w:vAlign w:val="center"/>
          </w:tcPr>
          <w:p w:rsidR="007D5762" w:rsidRPr="000E3F32" w:rsidRDefault="007D5762" w:rsidP="00B05836">
            <w:pPr>
              <w:ind w:left="142"/>
            </w:pPr>
          </w:p>
        </w:tc>
        <w:tc>
          <w:tcPr>
            <w:tcW w:w="3333" w:type="dxa"/>
          </w:tcPr>
          <w:p w:rsidR="007D5762" w:rsidRDefault="00125962" w:rsidP="003F07DA">
            <w:r>
              <w:t>Gypsy/Traveller</w:t>
            </w:r>
            <w:r w:rsidR="00825393">
              <w:t xml:space="preserve"> accommodation</w:t>
            </w:r>
          </w:p>
          <w:p w:rsidR="00825393" w:rsidRDefault="00825393" w:rsidP="003F07DA"/>
        </w:tc>
      </w:tr>
      <w:tr w:rsidR="007D5762" w:rsidTr="00B05836">
        <w:tc>
          <w:tcPr>
            <w:tcW w:w="2652" w:type="dxa"/>
          </w:tcPr>
          <w:p w:rsidR="007D5762" w:rsidRDefault="007D5762" w:rsidP="003F07DA">
            <w:r>
              <w:t>Sexual Orientation</w:t>
            </w:r>
          </w:p>
          <w:p w:rsidR="007D5762" w:rsidRDefault="007D5762" w:rsidP="003F07DA"/>
        </w:tc>
        <w:tc>
          <w:tcPr>
            <w:tcW w:w="1060" w:type="dxa"/>
            <w:vAlign w:val="center"/>
          </w:tcPr>
          <w:p w:rsidR="007D5762" w:rsidRDefault="007D5762" w:rsidP="00B05836"/>
        </w:tc>
        <w:tc>
          <w:tcPr>
            <w:tcW w:w="1134" w:type="dxa"/>
            <w:vAlign w:val="center"/>
          </w:tcPr>
          <w:p w:rsidR="007D5762" w:rsidRDefault="007D5762" w:rsidP="00B05836"/>
        </w:tc>
        <w:tc>
          <w:tcPr>
            <w:tcW w:w="1074" w:type="dxa"/>
            <w:vAlign w:val="center"/>
          </w:tcPr>
          <w:p w:rsidR="00B05836" w:rsidRPr="00B05836" w:rsidRDefault="00B05836" w:rsidP="00B05836">
            <w:pPr>
              <w:ind w:left="142"/>
              <w:rPr>
                <w:szCs w:val="24"/>
              </w:rPr>
            </w:pPr>
            <w:r w:rsidRPr="00B05836">
              <w:rPr>
                <w:szCs w:val="24"/>
              </w:rPr>
              <w:sym w:font="Wingdings" w:char="F0FC"/>
            </w:r>
          </w:p>
          <w:p w:rsidR="007D5762" w:rsidRPr="000E3F32" w:rsidRDefault="007D5762" w:rsidP="00B05836">
            <w:pPr>
              <w:ind w:left="142"/>
            </w:pPr>
          </w:p>
        </w:tc>
        <w:tc>
          <w:tcPr>
            <w:tcW w:w="3333" w:type="dxa"/>
          </w:tcPr>
          <w:p w:rsidR="007D5762" w:rsidRDefault="00671D83" w:rsidP="003F07DA">
            <w:r>
              <w:t>No evidence of specific impact</w:t>
            </w:r>
          </w:p>
        </w:tc>
      </w:tr>
      <w:tr w:rsidR="007D5762" w:rsidTr="00B05836">
        <w:tc>
          <w:tcPr>
            <w:tcW w:w="2652" w:type="dxa"/>
          </w:tcPr>
          <w:p w:rsidR="007D5762" w:rsidRDefault="007D5762" w:rsidP="003F07DA">
            <w:r>
              <w:lastRenderedPageBreak/>
              <w:t>Gender reassignment</w:t>
            </w:r>
          </w:p>
          <w:p w:rsidR="007D5762" w:rsidRDefault="007D5762" w:rsidP="003F07DA"/>
        </w:tc>
        <w:tc>
          <w:tcPr>
            <w:tcW w:w="1060" w:type="dxa"/>
            <w:vAlign w:val="center"/>
          </w:tcPr>
          <w:p w:rsidR="007D5762" w:rsidRDefault="007D5762" w:rsidP="00B05836"/>
        </w:tc>
        <w:tc>
          <w:tcPr>
            <w:tcW w:w="1134" w:type="dxa"/>
            <w:vAlign w:val="center"/>
          </w:tcPr>
          <w:p w:rsidR="007D5762" w:rsidRDefault="007D5762" w:rsidP="00B05836"/>
        </w:tc>
        <w:tc>
          <w:tcPr>
            <w:tcW w:w="1074" w:type="dxa"/>
            <w:vAlign w:val="center"/>
          </w:tcPr>
          <w:p w:rsidR="00B05836" w:rsidRPr="00B05836" w:rsidRDefault="00B05836" w:rsidP="00B05836">
            <w:pPr>
              <w:ind w:left="142"/>
              <w:rPr>
                <w:szCs w:val="24"/>
              </w:rPr>
            </w:pPr>
            <w:r w:rsidRPr="00B05836">
              <w:rPr>
                <w:szCs w:val="24"/>
              </w:rPr>
              <w:sym w:font="Wingdings" w:char="F0FC"/>
            </w:r>
          </w:p>
          <w:p w:rsidR="007D5762" w:rsidRPr="000E3F32" w:rsidRDefault="007D5762" w:rsidP="00B05836">
            <w:pPr>
              <w:ind w:left="142"/>
            </w:pPr>
          </w:p>
        </w:tc>
        <w:tc>
          <w:tcPr>
            <w:tcW w:w="3333" w:type="dxa"/>
          </w:tcPr>
          <w:p w:rsidR="007D5762" w:rsidRDefault="00C42D2E" w:rsidP="003F07DA">
            <w:r>
              <w:t>No evidence of specific impact</w:t>
            </w:r>
          </w:p>
        </w:tc>
      </w:tr>
      <w:tr w:rsidR="007D5762" w:rsidTr="00B05836">
        <w:tc>
          <w:tcPr>
            <w:tcW w:w="2652" w:type="dxa"/>
          </w:tcPr>
          <w:p w:rsidR="007D5762" w:rsidRDefault="007D5762" w:rsidP="003F07DA">
            <w:r>
              <w:t>Pregnancy/maternity</w:t>
            </w:r>
          </w:p>
          <w:p w:rsidR="007D5762" w:rsidRDefault="007D5762" w:rsidP="003F07DA"/>
        </w:tc>
        <w:tc>
          <w:tcPr>
            <w:tcW w:w="1060" w:type="dxa"/>
            <w:vAlign w:val="center"/>
          </w:tcPr>
          <w:p w:rsidR="007D5762" w:rsidRDefault="007D5762" w:rsidP="00B05836"/>
        </w:tc>
        <w:tc>
          <w:tcPr>
            <w:tcW w:w="1134" w:type="dxa"/>
            <w:vAlign w:val="center"/>
          </w:tcPr>
          <w:p w:rsidR="007D5762" w:rsidRDefault="007D5762" w:rsidP="00B05836"/>
        </w:tc>
        <w:tc>
          <w:tcPr>
            <w:tcW w:w="1074" w:type="dxa"/>
            <w:vAlign w:val="center"/>
          </w:tcPr>
          <w:p w:rsidR="00B05836" w:rsidRPr="00B05836" w:rsidRDefault="00B05836" w:rsidP="00B05836">
            <w:pPr>
              <w:ind w:left="142"/>
              <w:rPr>
                <w:szCs w:val="24"/>
              </w:rPr>
            </w:pPr>
            <w:r w:rsidRPr="00B05836">
              <w:rPr>
                <w:szCs w:val="24"/>
              </w:rPr>
              <w:sym w:font="Wingdings" w:char="F0FC"/>
            </w:r>
          </w:p>
          <w:p w:rsidR="007D5762" w:rsidRPr="000E3F32" w:rsidRDefault="007D5762" w:rsidP="00B05836">
            <w:pPr>
              <w:ind w:left="142"/>
            </w:pPr>
          </w:p>
        </w:tc>
        <w:tc>
          <w:tcPr>
            <w:tcW w:w="3333" w:type="dxa"/>
          </w:tcPr>
          <w:p w:rsidR="003A2E3F" w:rsidRDefault="00C42D2E" w:rsidP="003A2E3F">
            <w:r>
              <w:t>No evidence of specific impact</w:t>
            </w:r>
          </w:p>
        </w:tc>
      </w:tr>
      <w:tr w:rsidR="007D5762" w:rsidTr="00B92D04">
        <w:tc>
          <w:tcPr>
            <w:tcW w:w="2652" w:type="dxa"/>
          </w:tcPr>
          <w:p w:rsidR="007D5762" w:rsidRDefault="007D5762" w:rsidP="003F07DA">
            <w:r>
              <w:t>Marriage and Civil Partnership*</w:t>
            </w:r>
          </w:p>
        </w:tc>
        <w:tc>
          <w:tcPr>
            <w:tcW w:w="1060" w:type="dxa"/>
          </w:tcPr>
          <w:p w:rsidR="007D5762" w:rsidRDefault="007D5762" w:rsidP="003F07DA"/>
        </w:tc>
        <w:tc>
          <w:tcPr>
            <w:tcW w:w="1134" w:type="dxa"/>
          </w:tcPr>
          <w:p w:rsidR="007D5762" w:rsidRDefault="007D5762" w:rsidP="003F07DA"/>
        </w:tc>
        <w:tc>
          <w:tcPr>
            <w:tcW w:w="1074" w:type="dxa"/>
          </w:tcPr>
          <w:p w:rsidR="007D5762" w:rsidRPr="000E3F32" w:rsidRDefault="007D5762" w:rsidP="00671D83">
            <w:pPr>
              <w:ind w:left="142"/>
            </w:pPr>
          </w:p>
        </w:tc>
        <w:tc>
          <w:tcPr>
            <w:tcW w:w="3333" w:type="dxa"/>
          </w:tcPr>
          <w:p w:rsidR="007D5762" w:rsidRDefault="00671D83" w:rsidP="003F07DA">
            <w:r>
              <w:t>N/A</w:t>
            </w:r>
          </w:p>
        </w:tc>
      </w:tr>
    </w:tbl>
    <w:p w:rsidR="00185361" w:rsidRDefault="000A1F15" w:rsidP="00185361">
      <w:pPr>
        <w:pStyle w:val="NoSpacing"/>
        <w:spacing w:after="120"/>
        <w:ind w:left="714"/>
        <w:rPr>
          <w:lang w:val="en"/>
        </w:rPr>
      </w:pPr>
      <w:r>
        <w:rPr>
          <w:sz w:val="22"/>
        </w:rPr>
        <w:t>*</w:t>
      </w:r>
      <w:r w:rsidRPr="00F63714">
        <w:rPr>
          <w:sz w:val="22"/>
        </w:rPr>
        <w:t>applies only to Employment and the duty to give regard to the elimination of discrimination</w:t>
      </w:r>
    </w:p>
    <w:p w:rsidR="002B65C5" w:rsidRDefault="002B65C5" w:rsidP="002B65C5">
      <w:pPr>
        <w:pStyle w:val="NoSpacing"/>
        <w:spacing w:line="276" w:lineRule="auto"/>
        <w:rPr>
          <w:lang w:val="en"/>
        </w:rPr>
      </w:pPr>
    </w:p>
    <w:p w:rsidR="002B65C5" w:rsidRPr="002B65C5" w:rsidRDefault="002B65C5" w:rsidP="002B65C5">
      <w:pPr>
        <w:pStyle w:val="NoSpacing"/>
        <w:spacing w:line="276" w:lineRule="auto"/>
        <w:rPr>
          <w:lang w:val="en"/>
        </w:rPr>
      </w:pPr>
      <w:r w:rsidRPr="00CD3BD3">
        <w:rPr>
          <w:rFonts w:eastAsia="Times New Roman" w:cs="Arial"/>
          <w:b/>
          <w:szCs w:val="24"/>
          <w:lang w:val="en"/>
        </w:rPr>
        <w:t>Recommend this policy for full Equality Impact Assessment?</w:t>
      </w:r>
      <w:r>
        <w:rPr>
          <w:rFonts w:eastAsia="Times New Roman" w:cs="Arial"/>
          <w:szCs w:val="24"/>
          <w:lang w:val="en"/>
        </w:rPr>
        <w:t xml:space="preserve"> </w:t>
      </w:r>
    </w:p>
    <w:p w:rsidR="002B65C5" w:rsidRDefault="002B65C5" w:rsidP="002B65C5">
      <w:pPr>
        <w:shd w:val="clear" w:color="auto" w:fill="FFFFFF"/>
        <w:spacing w:after="0" w:line="276" w:lineRule="auto"/>
        <w:rPr>
          <w:rFonts w:eastAsia="Times New Roman" w:cs="Arial"/>
          <w:szCs w:val="24"/>
          <w:lang w:val="en"/>
        </w:rPr>
      </w:pPr>
    </w:p>
    <w:p w:rsidR="00110F09" w:rsidRDefault="002B65C5" w:rsidP="00110F09">
      <w:pPr>
        <w:pStyle w:val="NoSpacing"/>
        <w:spacing w:after="120"/>
        <w:rPr>
          <w:b/>
          <w:lang w:val="en"/>
        </w:rPr>
      </w:pPr>
      <w:r>
        <w:rPr>
          <w:b/>
          <w:lang w:val="en"/>
        </w:rPr>
        <w:t>Yes</w:t>
      </w:r>
    </w:p>
    <w:p w:rsidR="00CD108D" w:rsidRDefault="00CD108D" w:rsidP="00110F09">
      <w:pPr>
        <w:pStyle w:val="NoSpacing"/>
        <w:spacing w:after="120"/>
        <w:rPr>
          <w:b/>
          <w:lang w:val="en"/>
        </w:rPr>
      </w:pPr>
    </w:p>
    <w:p w:rsidR="002B65C5" w:rsidRDefault="002B65C5" w:rsidP="002B65C5">
      <w:pPr>
        <w:pStyle w:val="NoSpacing"/>
        <w:spacing w:line="276" w:lineRule="auto"/>
        <w:rPr>
          <w:lang w:val="en"/>
        </w:rPr>
      </w:pPr>
      <w:r w:rsidRPr="004B4088">
        <w:rPr>
          <w:lang w:val="en"/>
        </w:rPr>
        <w:t xml:space="preserve">If the answer is </w:t>
      </w:r>
      <w:r>
        <w:rPr>
          <w:lang w:val="en"/>
        </w:rPr>
        <w:t xml:space="preserve">“Yes”, continue to the next section.  If the answer is </w:t>
      </w:r>
      <w:r w:rsidRPr="004B4088">
        <w:rPr>
          <w:lang w:val="en"/>
        </w:rPr>
        <w:t>"</w:t>
      </w:r>
      <w:r>
        <w:rPr>
          <w:lang w:val="en"/>
        </w:rPr>
        <w:t>No</w:t>
      </w:r>
      <w:r w:rsidRPr="004B4088">
        <w:rPr>
          <w:lang w:val="en"/>
        </w:rPr>
        <w:t>", please give brief reasons here</w:t>
      </w:r>
      <w:r>
        <w:rPr>
          <w:lang w:val="en"/>
        </w:rPr>
        <w:t>.</w:t>
      </w:r>
    </w:p>
    <w:tbl>
      <w:tblPr>
        <w:tblStyle w:val="TableGrid"/>
        <w:tblW w:w="0" w:type="auto"/>
        <w:tblLook w:val="04A0" w:firstRow="1" w:lastRow="0" w:firstColumn="1" w:lastColumn="0" w:noHBand="0" w:noVBand="1"/>
      </w:tblPr>
      <w:tblGrid>
        <w:gridCol w:w="9242"/>
      </w:tblGrid>
      <w:tr w:rsidR="000A1F15" w:rsidTr="000A1F15">
        <w:tc>
          <w:tcPr>
            <w:tcW w:w="9242" w:type="dxa"/>
          </w:tcPr>
          <w:p w:rsidR="000A1F15" w:rsidRDefault="000A1F15" w:rsidP="002B65C5">
            <w:pPr>
              <w:pStyle w:val="NoSpacing"/>
              <w:spacing w:line="276" w:lineRule="auto"/>
              <w:rPr>
                <w:lang w:val="en"/>
              </w:rPr>
            </w:pPr>
          </w:p>
          <w:p w:rsidR="000A1F15" w:rsidRDefault="000A1F15" w:rsidP="002B65C5">
            <w:pPr>
              <w:pStyle w:val="NoSpacing"/>
              <w:spacing w:line="276" w:lineRule="auto"/>
              <w:rPr>
                <w:lang w:val="en"/>
              </w:rPr>
            </w:pPr>
          </w:p>
        </w:tc>
      </w:tr>
    </w:tbl>
    <w:p w:rsidR="000A1F15" w:rsidRDefault="000A1F15" w:rsidP="002B65C5">
      <w:pPr>
        <w:pStyle w:val="NoSpacing"/>
        <w:spacing w:line="276" w:lineRule="auto"/>
        <w:rPr>
          <w:lang w:val="en"/>
        </w:rPr>
      </w:pPr>
    </w:p>
    <w:p w:rsidR="000A1F15" w:rsidRDefault="000A1F15" w:rsidP="002B65C5">
      <w:pPr>
        <w:pStyle w:val="NoSpacing"/>
        <w:spacing w:line="276" w:lineRule="auto"/>
        <w:rPr>
          <w:lang w:val="en"/>
        </w:rPr>
      </w:pPr>
    </w:p>
    <w:p w:rsidR="000A1F15" w:rsidRDefault="000A1F15" w:rsidP="002B65C5">
      <w:pPr>
        <w:pStyle w:val="NoSpacing"/>
        <w:spacing w:line="276" w:lineRule="auto"/>
        <w:rPr>
          <w:lang w:val="en"/>
        </w:rPr>
      </w:pPr>
    </w:p>
    <w:p w:rsidR="002B65C5" w:rsidRDefault="002B65C5" w:rsidP="002B65C5">
      <w:pPr>
        <w:pStyle w:val="NoSpacing"/>
        <w:spacing w:line="276" w:lineRule="auto"/>
        <w:rPr>
          <w:lang w:val="en"/>
        </w:rPr>
      </w:pPr>
    </w:p>
    <w:p w:rsidR="002B65C5" w:rsidRDefault="002B65C5" w:rsidP="002B65C5">
      <w:pPr>
        <w:pStyle w:val="NoSpacing"/>
        <w:spacing w:line="276" w:lineRule="auto"/>
        <w:rPr>
          <w:lang w:val="en"/>
        </w:rPr>
      </w:pPr>
    </w:p>
    <w:p w:rsidR="002B65C5" w:rsidRDefault="002B65C5" w:rsidP="00110F09">
      <w:pPr>
        <w:pStyle w:val="NoSpacing"/>
        <w:spacing w:after="120"/>
        <w:rPr>
          <w:b/>
          <w:lang w:val="en"/>
        </w:rPr>
      </w:pPr>
      <w:r>
        <w:rPr>
          <w:b/>
          <w:lang w:val="en"/>
        </w:rPr>
        <w:br w:type="page"/>
      </w:r>
    </w:p>
    <w:p w:rsidR="00185361" w:rsidRPr="00110F09" w:rsidRDefault="002B65C5" w:rsidP="00110F09">
      <w:pPr>
        <w:pStyle w:val="NoSpacing"/>
        <w:spacing w:after="120"/>
        <w:rPr>
          <w:b/>
          <w:lang w:val="en"/>
        </w:rPr>
      </w:pPr>
      <w:r>
        <w:rPr>
          <w:b/>
          <w:lang w:val="en"/>
        </w:rPr>
        <w:lastRenderedPageBreak/>
        <w:t xml:space="preserve">Equality impact </w:t>
      </w:r>
      <w:r w:rsidR="00110F09" w:rsidRPr="00110F09">
        <w:rPr>
          <w:b/>
          <w:lang w:val="en"/>
        </w:rPr>
        <w:t>Assessment:</w:t>
      </w:r>
    </w:p>
    <w:tbl>
      <w:tblPr>
        <w:tblStyle w:val="TableGrid"/>
        <w:tblW w:w="9356" w:type="dxa"/>
        <w:tblInd w:w="-34" w:type="dxa"/>
        <w:tblLook w:val="04A0" w:firstRow="1" w:lastRow="0" w:firstColumn="1" w:lastColumn="0" w:noHBand="0" w:noVBand="1"/>
      </w:tblPr>
      <w:tblGrid>
        <w:gridCol w:w="2836"/>
        <w:gridCol w:w="6520"/>
      </w:tblGrid>
      <w:tr w:rsidR="00C546A8" w:rsidTr="00C92108">
        <w:tc>
          <w:tcPr>
            <w:tcW w:w="9356" w:type="dxa"/>
            <w:gridSpan w:val="2"/>
          </w:tcPr>
          <w:p w:rsidR="00C546A8" w:rsidRPr="00C546A8" w:rsidRDefault="00C546A8" w:rsidP="00370B99">
            <w:pPr>
              <w:rPr>
                <w:rFonts w:cs="Arial"/>
                <w:b/>
                <w:szCs w:val="24"/>
                <w:lang w:eastAsia="en-US"/>
              </w:rPr>
            </w:pPr>
            <w:r w:rsidRPr="00C546A8">
              <w:rPr>
                <w:rFonts w:cs="Arial"/>
                <w:b/>
                <w:szCs w:val="24"/>
                <w:lang w:eastAsia="en-US"/>
              </w:rPr>
              <w:t>Evidence and consultation</w:t>
            </w:r>
          </w:p>
          <w:p w:rsidR="00C546A8" w:rsidRPr="00EB691F" w:rsidRDefault="00C546A8" w:rsidP="00370B99">
            <w:pPr>
              <w:rPr>
                <w:rFonts w:cs="Arial"/>
                <w:szCs w:val="24"/>
                <w:lang w:eastAsia="en-US"/>
              </w:rPr>
            </w:pPr>
          </w:p>
        </w:tc>
      </w:tr>
      <w:tr w:rsidR="00522380" w:rsidTr="009F65B1">
        <w:tc>
          <w:tcPr>
            <w:tcW w:w="9356" w:type="dxa"/>
            <w:gridSpan w:val="2"/>
          </w:tcPr>
          <w:p w:rsidR="00522380" w:rsidRPr="00110F09" w:rsidRDefault="00522380" w:rsidP="00110F09">
            <w:pPr>
              <w:rPr>
                <w:lang w:val="en"/>
              </w:rPr>
            </w:pPr>
            <w:r w:rsidRPr="00110F09">
              <w:rPr>
                <w:lang w:val="en"/>
              </w:rPr>
              <w:t>What existing sources of information have you gathered to help identify how people covered by the protected characteristics may be affected by this policy or service?</w:t>
            </w:r>
          </w:p>
          <w:p w:rsidR="00522380" w:rsidRPr="00110F09" w:rsidRDefault="00522380" w:rsidP="00370B99">
            <w:pPr>
              <w:pStyle w:val="ListParagraph"/>
              <w:ind w:left="0"/>
              <w:rPr>
                <w:bCs/>
                <w:lang w:val="en-GB"/>
              </w:rPr>
            </w:pPr>
            <w:proofErr w:type="spellStart"/>
            <w:r w:rsidRPr="00110F09">
              <w:rPr>
                <w:bCs/>
                <w:lang w:val="en-GB"/>
              </w:rPr>
              <w:t>Eg</w:t>
            </w:r>
            <w:proofErr w:type="spellEnd"/>
            <w:r w:rsidRPr="00110F09">
              <w:rPr>
                <w:bCs/>
                <w:lang w:val="en-GB"/>
              </w:rPr>
              <w:t xml:space="preserve"> Consultations, national or local data and/or research, complaints or customer feedback.  Are there gaps in available data?</w:t>
            </w:r>
          </w:p>
          <w:p w:rsidR="00522380" w:rsidRPr="00EB691F" w:rsidRDefault="00522380" w:rsidP="00370B99">
            <w:pPr>
              <w:rPr>
                <w:rFonts w:cs="Arial"/>
                <w:szCs w:val="24"/>
                <w:lang w:eastAsia="en-US"/>
              </w:rPr>
            </w:pPr>
          </w:p>
        </w:tc>
      </w:tr>
      <w:tr w:rsidR="00522380" w:rsidTr="00985CB3">
        <w:trPr>
          <w:trHeight w:val="870"/>
        </w:trPr>
        <w:tc>
          <w:tcPr>
            <w:tcW w:w="9356" w:type="dxa"/>
            <w:gridSpan w:val="2"/>
          </w:tcPr>
          <w:p w:rsidR="00171C96" w:rsidRDefault="00171C96" w:rsidP="00C546A8">
            <w:pPr>
              <w:pStyle w:val="NoSpacing"/>
              <w:spacing w:after="120"/>
              <w:rPr>
                <w:i/>
                <w:sz w:val="22"/>
                <w:lang w:val="en"/>
              </w:rPr>
            </w:pPr>
            <w:r w:rsidRPr="00171C96">
              <w:rPr>
                <w:b/>
                <w:i/>
                <w:sz w:val="22"/>
                <w:lang w:val="en"/>
              </w:rPr>
              <w:t>Data:</w:t>
            </w:r>
            <w:r>
              <w:rPr>
                <w:i/>
                <w:sz w:val="22"/>
                <w:lang w:val="en"/>
              </w:rPr>
              <w:t xml:space="preserve"> </w:t>
            </w:r>
            <w:r w:rsidR="00CD108D" w:rsidRPr="00196E36">
              <w:rPr>
                <w:i/>
                <w:sz w:val="22"/>
                <w:lang w:val="en"/>
              </w:rPr>
              <w:t>Extensive research undertaken on housing need and demand as the basis for the strategy.</w:t>
            </w:r>
            <w:r>
              <w:rPr>
                <w:i/>
                <w:sz w:val="22"/>
                <w:lang w:val="en"/>
              </w:rPr>
              <w:t xml:space="preserve"> This includes </w:t>
            </w:r>
            <w:r w:rsidR="00833157">
              <w:rPr>
                <w:i/>
                <w:sz w:val="22"/>
                <w:lang w:val="en"/>
              </w:rPr>
              <w:t xml:space="preserve">demographic data (Census 2011); </w:t>
            </w:r>
            <w:r w:rsidR="00671D83">
              <w:rPr>
                <w:i/>
                <w:sz w:val="22"/>
                <w:lang w:val="en"/>
              </w:rPr>
              <w:t xml:space="preserve">Scottish Household Survey, </w:t>
            </w:r>
            <w:r w:rsidR="00833157">
              <w:rPr>
                <w:i/>
                <w:sz w:val="22"/>
                <w:lang w:val="en"/>
              </w:rPr>
              <w:t>Housing Need and Demand Assessment 2015; Socio-economic data (SIMD, SEP)</w:t>
            </w:r>
            <w:r w:rsidR="00B05836">
              <w:rPr>
                <w:i/>
                <w:sz w:val="22"/>
                <w:lang w:val="en"/>
              </w:rPr>
              <w:t>, SG Equality Evidence Finder</w:t>
            </w:r>
            <w:r>
              <w:rPr>
                <w:i/>
                <w:sz w:val="22"/>
                <w:lang w:val="en"/>
              </w:rPr>
              <w:t xml:space="preserve"> </w:t>
            </w:r>
          </w:p>
          <w:p w:rsidR="00CD108D" w:rsidRDefault="00171C96" w:rsidP="00C546A8">
            <w:pPr>
              <w:pStyle w:val="NoSpacing"/>
              <w:spacing w:after="120"/>
              <w:rPr>
                <w:i/>
                <w:sz w:val="22"/>
                <w:lang w:val="en"/>
              </w:rPr>
            </w:pPr>
            <w:r>
              <w:rPr>
                <w:i/>
                <w:sz w:val="22"/>
                <w:lang w:val="en"/>
              </w:rPr>
              <w:t>Key equality data for Highland includes:</w:t>
            </w:r>
          </w:p>
          <w:p w:rsidR="00171C96" w:rsidRPr="00171C96" w:rsidRDefault="00171C96" w:rsidP="00171C96">
            <w:pPr>
              <w:pStyle w:val="NoSpacing"/>
              <w:numPr>
                <w:ilvl w:val="0"/>
                <w:numId w:val="29"/>
              </w:numPr>
              <w:rPr>
                <w:rFonts w:cs="Arial"/>
                <w:i/>
                <w:sz w:val="22"/>
              </w:rPr>
            </w:pPr>
            <w:r w:rsidRPr="00171C96">
              <w:rPr>
                <w:rFonts w:cs="Arial"/>
                <w:i/>
                <w:sz w:val="22"/>
              </w:rPr>
              <w:t xml:space="preserve">51% of the </w:t>
            </w:r>
            <w:r w:rsidR="00B05836">
              <w:rPr>
                <w:rFonts w:cs="Arial"/>
                <w:i/>
                <w:sz w:val="22"/>
              </w:rPr>
              <w:t xml:space="preserve">Highland </w:t>
            </w:r>
            <w:r w:rsidRPr="00171C96">
              <w:rPr>
                <w:rFonts w:cs="Arial"/>
                <w:i/>
                <w:sz w:val="22"/>
              </w:rPr>
              <w:t>population is female and 49% is male, compared to 52% and 48% respectively for Scotland</w:t>
            </w:r>
          </w:p>
          <w:p w:rsidR="00171C96" w:rsidRPr="00171C96" w:rsidRDefault="00171C96" w:rsidP="00171C96">
            <w:pPr>
              <w:pStyle w:val="NoSpacing"/>
              <w:numPr>
                <w:ilvl w:val="0"/>
                <w:numId w:val="29"/>
              </w:numPr>
              <w:rPr>
                <w:rFonts w:cs="Arial"/>
                <w:i/>
                <w:sz w:val="22"/>
              </w:rPr>
            </w:pPr>
            <w:r w:rsidRPr="00171C96">
              <w:rPr>
                <w:rFonts w:cs="Arial"/>
                <w:i/>
                <w:sz w:val="22"/>
              </w:rPr>
              <w:t xml:space="preserve">Highland generally has an older population profile than that of Scotland as a whole with a slightly higher percentage of children. </w:t>
            </w:r>
            <w:r w:rsidR="00E5001E" w:rsidRPr="00E5001E">
              <w:rPr>
                <w:i/>
                <w:sz w:val="22"/>
              </w:rPr>
              <w:t>Older people in Highland are most likely to be in fuel poverty (74% compared to 49% nationally).</w:t>
            </w:r>
            <w:r w:rsidR="00825393">
              <w:rPr>
                <w:i/>
                <w:sz w:val="22"/>
              </w:rPr>
              <w:t xml:space="preserve"> </w:t>
            </w:r>
            <w:r w:rsidR="00825393" w:rsidRPr="00825393">
              <w:rPr>
                <w:i/>
                <w:sz w:val="23"/>
                <w:szCs w:val="23"/>
              </w:rPr>
              <w:t>There is evidence that young people in Highland ‘drift’ away from rural areas to find improved job or education prospects.</w:t>
            </w:r>
            <w:r w:rsidR="00825393">
              <w:rPr>
                <w:sz w:val="23"/>
                <w:szCs w:val="23"/>
              </w:rPr>
              <w:t xml:space="preserve"> </w:t>
            </w:r>
          </w:p>
          <w:p w:rsidR="00171C96" w:rsidRPr="00FA7AC2" w:rsidRDefault="00833157" w:rsidP="00FA7AC2">
            <w:pPr>
              <w:pStyle w:val="NoSpacing"/>
              <w:numPr>
                <w:ilvl w:val="0"/>
                <w:numId w:val="29"/>
              </w:numPr>
              <w:rPr>
                <w:rFonts w:cs="Arial"/>
                <w:i/>
                <w:sz w:val="22"/>
              </w:rPr>
            </w:pPr>
            <w:r w:rsidRPr="00171C96">
              <w:rPr>
                <w:rFonts w:cs="Arial"/>
                <w:i/>
                <w:sz w:val="22"/>
              </w:rPr>
              <w:t>The minority ethnic</w:t>
            </w:r>
            <w:r>
              <w:rPr>
                <w:rFonts w:cs="Arial"/>
                <w:i/>
                <w:sz w:val="22"/>
              </w:rPr>
              <w:t xml:space="preserve"> population of Highland is 1.4%</w:t>
            </w:r>
            <w:r w:rsidRPr="00171C96">
              <w:rPr>
                <w:rFonts w:cs="Arial"/>
                <w:i/>
                <w:sz w:val="22"/>
              </w:rPr>
              <w:t xml:space="preserve"> </w:t>
            </w:r>
            <w:r>
              <w:rPr>
                <w:rFonts w:cs="Arial"/>
                <w:i/>
                <w:sz w:val="22"/>
              </w:rPr>
              <w:t>(</w:t>
            </w:r>
            <w:r w:rsidRPr="00171C96">
              <w:rPr>
                <w:rFonts w:cs="Arial"/>
                <w:i/>
                <w:sz w:val="22"/>
              </w:rPr>
              <w:t>up from 0.8%</w:t>
            </w:r>
            <w:r>
              <w:rPr>
                <w:rFonts w:cs="Arial"/>
                <w:i/>
                <w:sz w:val="22"/>
              </w:rPr>
              <w:t xml:space="preserve"> in 2001)</w:t>
            </w:r>
            <w:r w:rsidRPr="00171C96">
              <w:rPr>
                <w:rFonts w:cs="Arial"/>
                <w:i/>
                <w:sz w:val="22"/>
              </w:rPr>
              <w:t xml:space="preserve"> compared to 4% for Scotland overall.</w:t>
            </w:r>
          </w:p>
          <w:p w:rsidR="00171C96" w:rsidRPr="00671D83" w:rsidRDefault="00171C96" w:rsidP="00FA7AC2">
            <w:pPr>
              <w:pStyle w:val="Default"/>
              <w:numPr>
                <w:ilvl w:val="0"/>
                <w:numId w:val="30"/>
              </w:numPr>
              <w:rPr>
                <w:i/>
                <w:color w:val="auto"/>
                <w:sz w:val="22"/>
                <w:szCs w:val="22"/>
              </w:rPr>
            </w:pPr>
            <w:r w:rsidRPr="00171C96">
              <w:rPr>
                <w:i/>
                <w:color w:val="auto"/>
                <w:sz w:val="22"/>
                <w:szCs w:val="22"/>
              </w:rPr>
              <w:t xml:space="preserve">Most people in Highland describe their ethnic background as ‘White’. In Highland, a larger percentage describes themselves as ‘White: Other British’ (15% in Highland versus 8% in Scotland). </w:t>
            </w:r>
            <w:r w:rsidR="00FA7AC2" w:rsidRPr="00FA7AC2">
              <w:rPr>
                <w:i/>
                <w:sz w:val="22"/>
                <w:szCs w:val="22"/>
              </w:rPr>
              <w:t>Proportions of people from different ethnic origins are similar across all Highland Housing Market Areas.</w:t>
            </w:r>
            <w:r w:rsidR="00FA7AC2">
              <w:rPr>
                <w:i/>
                <w:color w:val="auto"/>
                <w:sz w:val="22"/>
                <w:szCs w:val="22"/>
              </w:rPr>
              <w:t xml:space="preserve"> </w:t>
            </w:r>
            <w:r w:rsidRPr="00FA7AC2">
              <w:rPr>
                <w:i/>
                <w:color w:val="auto"/>
                <w:sz w:val="22"/>
                <w:szCs w:val="22"/>
              </w:rPr>
              <w:t xml:space="preserve">Highland has a higher than average Polish population (1.48% compared to 1.16%) </w:t>
            </w:r>
            <w:r w:rsidRPr="00FA7AC2">
              <w:rPr>
                <w:rFonts w:eastAsiaTheme="minorHAnsi"/>
                <w:i/>
                <w:color w:val="auto"/>
                <w:sz w:val="22"/>
                <w:szCs w:val="22"/>
              </w:rPr>
              <w:t xml:space="preserve">and a higher than average Gypsy/Traveller population (0.13% compared to 0.08%). </w:t>
            </w:r>
          </w:p>
          <w:p w:rsidR="00671D83" w:rsidRPr="00671D83" w:rsidRDefault="00671D83" w:rsidP="00FA7AC2">
            <w:pPr>
              <w:pStyle w:val="Default"/>
              <w:numPr>
                <w:ilvl w:val="0"/>
                <w:numId w:val="30"/>
              </w:numPr>
              <w:rPr>
                <w:i/>
                <w:color w:val="auto"/>
                <w:sz w:val="22"/>
                <w:szCs w:val="22"/>
              </w:rPr>
            </w:pPr>
            <w:r w:rsidRPr="00671D83">
              <w:rPr>
                <w:i/>
                <w:sz w:val="22"/>
                <w:szCs w:val="22"/>
              </w:rPr>
              <w:t>Highland is dependent on inward migration for population growth, and without positive inward migration we will see the population begin to decline at an increasing rate.</w:t>
            </w:r>
          </w:p>
          <w:p w:rsidR="00171C96" w:rsidRPr="00171C96" w:rsidRDefault="00171C96" w:rsidP="00171C96">
            <w:pPr>
              <w:pStyle w:val="NoSpacing"/>
              <w:numPr>
                <w:ilvl w:val="0"/>
                <w:numId w:val="29"/>
              </w:numPr>
              <w:rPr>
                <w:rFonts w:cs="Arial"/>
                <w:i/>
                <w:sz w:val="22"/>
              </w:rPr>
            </w:pPr>
            <w:r w:rsidRPr="00171C96">
              <w:rPr>
                <w:rFonts w:cs="Arial"/>
                <w:i/>
                <w:sz w:val="22"/>
              </w:rPr>
              <w:t xml:space="preserve">According to the Scottish Household Survey, 21% of people in Highland have a long-standing limited illness (LTLI), health problem or disability compared to 18% in Scotland. LTLI increases with age, with 59% of men and 66% of women over the age of 75 having a LTLI compared to 8% of men and 7% of women </w:t>
            </w:r>
            <w:proofErr w:type="gramStart"/>
            <w:r w:rsidRPr="00171C96">
              <w:rPr>
                <w:rFonts w:cs="Arial"/>
                <w:i/>
                <w:sz w:val="22"/>
              </w:rPr>
              <w:t>under</w:t>
            </w:r>
            <w:proofErr w:type="gramEnd"/>
            <w:r w:rsidRPr="00171C96">
              <w:rPr>
                <w:rFonts w:cs="Arial"/>
                <w:i/>
                <w:sz w:val="22"/>
              </w:rPr>
              <w:t xml:space="preserve"> 30</w:t>
            </w:r>
            <w:r w:rsidR="00B05836">
              <w:rPr>
                <w:rFonts w:cs="Arial"/>
                <w:i/>
                <w:sz w:val="22"/>
              </w:rPr>
              <w:t>. In Scotland, s</w:t>
            </w:r>
            <w:r w:rsidR="00B05836" w:rsidRPr="00B05836">
              <w:rPr>
                <w:rFonts w:cs="Arial"/>
                <w:i/>
                <w:sz w:val="22"/>
              </w:rPr>
              <w:t>ocial renters are more likely to have a limiting, long-term physical or mental health condition (39%) than any other tenure and the population as a whole (23%).</w:t>
            </w:r>
            <w:r w:rsidR="00BB7B19" w:rsidRPr="00BB7B19">
              <w:rPr>
                <w:rFonts w:cs="Arial"/>
                <w:i/>
                <w:sz w:val="22"/>
              </w:rPr>
              <w:t xml:space="preserve"> </w:t>
            </w:r>
            <w:r w:rsidR="00BB7B19" w:rsidRPr="00BB7B19">
              <w:rPr>
                <w:i/>
                <w:sz w:val="22"/>
              </w:rPr>
              <w:t>As at July 2017 there were 547 people</w:t>
            </w:r>
            <w:r w:rsidR="002562B1">
              <w:rPr>
                <w:i/>
                <w:sz w:val="22"/>
              </w:rPr>
              <w:t xml:space="preserve"> in Highland</w:t>
            </w:r>
            <w:r w:rsidR="00BB7B19" w:rsidRPr="00BB7B19">
              <w:rPr>
                <w:i/>
                <w:sz w:val="22"/>
              </w:rPr>
              <w:t xml:space="preserve"> receiving a long term housing support service in Highland. Most services are centred on clients with Learning Difficulties (43%) or Mental Health conditions</w:t>
            </w:r>
            <w:r w:rsidR="002562B1">
              <w:rPr>
                <w:sz w:val="23"/>
                <w:szCs w:val="23"/>
              </w:rPr>
              <w:t>.</w:t>
            </w:r>
          </w:p>
          <w:p w:rsidR="00171C96" w:rsidRDefault="00171C96" w:rsidP="00C546A8">
            <w:pPr>
              <w:pStyle w:val="NoSpacing"/>
              <w:spacing w:after="120"/>
              <w:rPr>
                <w:i/>
                <w:sz w:val="22"/>
                <w:lang w:val="en"/>
              </w:rPr>
            </w:pPr>
          </w:p>
          <w:p w:rsidR="00E701F9" w:rsidRPr="00E701F9" w:rsidRDefault="00E701F9" w:rsidP="00E701F9">
            <w:pPr>
              <w:pStyle w:val="Default"/>
              <w:rPr>
                <w:i/>
                <w:sz w:val="22"/>
              </w:rPr>
            </w:pPr>
            <w:r w:rsidRPr="00E701F9">
              <w:rPr>
                <w:i/>
                <w:sz w:val="22"/>
                <w:szCs w:val="22"/>
              </w:rPr>
              <w:t>The</w:t>
            </w:r>
            <w:r>
              <w:rPr>
                <w:i/>
                <w:sz w:val="22"/>
                <w:szCs w:val="22"/>
              </w:rPr>
              <w:t xml:space="preserve">re are gaps in available </w:t>
            </w:r>
            <w:proofErr w:type="gramStart"/>
            <w:r>
              <w:rPr>
                <w:i/>
                <w:sz w:val="22"/>
                <w:szCs w:val="22"/>
              </w:rPr>
              <w:t>data,</w:t>
            </w:r>
            <w:proofErr w:type="gramEnd"/>
            <w:r>
              <w:rPr>
                <w:i/>
                <w:sz w:val="22"/>
                <w:szCs w:val="22"/>
              </w:rPr>
              <w:t xml:space="preserve"> in particular, the</w:t>
            </w:r>
            <w:r w:rsidRPr="00E701F9">
              <w:rPr>
                <w:i/>
                <w:sz w:val="22"/>
                <w:szCs w:val="22"/>
              </w:rPr>
              <w:t xml:space="preserve"> </w:t>
            </w:r>
            <w:r>
              <w:rPr>
                <w:i/>
                <w:sz w:val="22"/>
                <w:szCs w:val="22"/>
              </w:rPr>
              <w:t>C</w:t>
            </w:r>
            <w:r w:rsidRPr="00E701F9">
              <w:rPr>
                <w:i/>
                <w:sz w:val="22"/>
                <w:szCs w:val="22"/>
              </w:rPr>
              <w:t xml:space="preserve">ouncil has limited reliable data on </w:t>
            </w:r>
            <w:r w:rsidR="00E5001E">
              <w:rPr>
                <w:i/>
                <w:sz w:val="22"/>
                <w:szCs w:val="22"/>
              </w:rPr>
              <w:t xml:space="preserve">many </w:t>
            </w:r>
            <w:r w:rsidRPr="00E701F9">
              <w:rPr>
                <w:i/>
                <w:sz w:val="22"/>
                <w:szCs w:val="22"/>
              </w:rPr>
              <w:t xml:space="preserve">protected characteristics for our tenants or those on the housing register. This makes it harder to identify patterns or where people with protected characteristics may be over or under represented. </w:t>
            </w:r>
          </w:p>
          <w:p w:rsidR="00E701F9" w:rsidRPr="00196E36" w:rsidRDefault="00E701F9" w:rsidP="00C546A8">
            <w:pPr>
              <w:pStyle w:val="NoSpacing"/>
              <w:spacing w:after="120"/>
              <w:rPr>
                <w:i/>
                <w:sz w:val="22"/>
                <w:lang w:val="en"/>
              </w:rPr>
            </w:pPr>
          </w:p>
          <w:p w:rsidR="00196E36" w:rsidRPr="00E701F9" w:rsidRDefault="00171C96" w:rsidP="00196E36">
            <w:pPr>
              <w:pStyle w:val="NoSpacing"/>
              <w:spacing w:after="120"/>
              <w:rPr>
                <w:i/>
                <w:color w:val="FF0000"/>
                <w:sz w:val="22"/>
                <w:lang w:val="en"/>
              </w:rPr>
            </w:pPr>
            <w:r w:rsidRPr="00171C96">
              <w:rPr>
                <w:b/>
                <w:i/>
                <w:sz w:val="22"/>
              </w:rPr>
              <w:t>Consultation:</w:t>
            </w:r>
            <w:r>
              <w:rPr>
                <w:b/>
                <w:i/>
                <w:sz w:val="22"/>
              </w:rPr>
              <w:t xml:space="preserve"> </w:t>
            </w:r>
            <w:r w:rsidR="00040D2E" w:rsidRPr="00196E36">
              <w:rPr>
                <w:i/>
                <w:sz w:val="22"/>
              </w:rPr>
              <w:t>There was wide stakeholder involvement in preparing the draft strategy reported to Committee in January 2017</w:t>
            </w:r>
            <w:r w:rsidR="00196E36" w:rsidRPr="00196E36">
              <w:rPr>
                <w:i/>
                <w:sz w:val="22"/>
              </w:rPr>
              <w:t xml:space="preserve"> </w:t>
            </w:r>
            <w:hyperlink r:id="rId7" w:history="1">
              <w:r w:rsidR="00196E36" w:rsidRPr="00196E36">
                <w:rPr>
                  <w:rStyle w:val="Hyperlink"/>
                  <w:rFonts w:cs="Arial"/>
                  <w:i/>
                  <w:color w:val="auto"/>
                  <w:sz w:val="22"/>
                  <w:lang w:val="en"/>
                </w:rPr>
                <w:t>(It</w:t>
              </w:r>
              <w:r w:rsidR="00196E36" w:rsidRPr="00196E36">
                <w:rPr>
                  <w:rStyle w:val="Hyperlink"/>
                  <w:rFonts w:cs="Arial"/>
                  <w:i/>
                  <w:sz w:val="22"/>
                  <w:lang w:val="en"/>
                </w:rPr>
                <w:t>em 8 Local Housing Strategy</w:t>
              </w:r>
            </w:hyperlink>
            <w:r w:rsidR="00196E36" w:rsidRPr="00196E36">
              <w:rPr>
                <w:rFonts w:cs="Arial"/>
                <w:i/>
                <w:color w:val="444444"/>
                <w:sz w:val="22"/>
                <w:lang w:val="en"/>
              </w:rPr>
              <w:t>)</w:t>
            </w:r>
            <w:r w:rsidR="00040D2E" w:rsidRPr="00196E36">
              <w:rPr>
                <w:i/>
                <w:sz w:val="22"/>
              </w:rPr>
              <w:t xml:space="preserve">. This was carried out jointly through the development plan consultation process. </w:t>
            </w:r>
            <w:r w:rsidR="00196E36" w:rsidRPr="00300A6D">
              <w:rPr>
                <w:rFonts w:eastAsiaTheme="minorHAnsi" w:cs="Arial"/>
                <w:i/>
                <w:color w:val="000000"/>
                <w:sz w:val="22"/>
                <w:lang w:eastAsia="en-US"/>
              </w:rPr>
              <w:t xml:space="preserve">We consulted widely on the Highland Local Development Plan and the main issues for Local Housing Strategy in a series of public events during September to November 2015. </w:t>
            </w:r>
            <w:r w:rsidR="00196E36" w:rsidRPr="00196E36">
              <w:rPr>
                <w:i/>
                <w:sz w:val="22"/>
                <w:lang w:val="en"/>
              </w:rPr>
              <w:t xml:space="preserve">This provided information on the key </w:t>
            </w:r>
            <w:r w:rsidR="00196E36" w:rsidRPr="00196E36">
              <w:rPr>
                <w:i/>
                <w:sz w:val="22"/>
                <w:lang w:val="en"/>
              </w:rPr>
              <w:lastRenderedPageBreak/>
              <w:t xml:space="preserve">issues to be addressed by the strategy. </w:t>
            </w:r>
          </w:p>
          <w:p w:rsidR="00196E36" w:rsidRPr="00196E36" w:rsidRDefault="00196E36" w:rsidP="00196E36">
            <w:pPr>
              <w:autoSpaceDE w:val="0"/>
              <w:autoSpaceDN w:val="0"/>
              <w:adjustRightInd w:val="0"/>
              <w:rPr>
                <w:i/>
                <w:sz w:val="22"/>
              </w:rPr>
            </w:pPr>
          </w:p>
          <w:p w:rsidR="00196E36" w:rsidRPr="00671D83" w:rsidRDefault="00040D2E" w:rsidP="00671D83">
            <w:pPr>
              <w:autoSpaceDE w:val="0"/>
              <w:autoSpaceDN w:val="0"/>
              <w:adjustRightInd w:val="0"/>
              <w:rPr>
                <w:rFonts w:eastAsiaTheme="minorHAnsi" w:cs="Arial"/>
                <w:i/>
                <w:color w:val="000000"/>
                <w:sz w:val="22"/>
                <w:lang w:eastAsia="en-US"/>
              </w:rPr>
            </w:pPr>
            <w:r w:rsidRPr="00196E36">
              <w:rPr>
                <w:i/>
                <w:sz w:val="22"/>
              </w:rPr>
              <w:t xml:space="preserve">Following finalisation of the draft strategy, </w:t>
            </w:r>
            <w:r w:rsidR="00196E36">
              <w:rPr>
                <w:i/>
                <w:sz w:val="22"/>
              </w:rPr>
              <w:t xml:space="preserve">further on-line </w:t>
            </w:r>
            <w:r w:rsidRPr="00196E36">
              <w:rPr>
                <w:i/>
                <w:sz w:val="22"/>
              </w:rPr>
              <w:t xml:space="preserve">consultation took place </w:t>
            </w:r>
          </w:p>
          <w:p w:rsidR="00522380" w:rsidRPr="00C546A8" w:rsidRDefault="00522380" w:rsidP="00196E36">
            <w:pPr>
              <w:pStyle w:val="NoSpacing"/>
              <w:spacing w:after="120"/>
              <w:rPr>
                <w:b/>
                <w:lang w:val="en"/>
              </w:rPr>
            </w:pPr>
          </w:p>
        </w:tc>
      </w:tr>
      <w:tr w:rsidR="00C546A8" w:rsidTr="00985CB3">
        <w:trPr>
          <w:trHeight w:val="870"/>
        </w:trPr>
        <w:tc>
          <w:tcPr>
            <w:tcW w:w="9356" w:type="dxa"/>
            <w:gridSpan w:val="2"/>
          </w:tcPr>
          <w:p w:rsidR="00C546A8" w:rsidRPr="00C546A8" w:rsidRDefault="00C546A8" w:rsidP="00C546A8">
            <w:pPr>
              <w:pStyle w:val="NoSpacing"/>
              <w:spacing w:after="120"/>
              <w:rPr>
                <w:b/>
                <w:lang w:val="en"/>
              </w:rPr>
            </w:pPr>
            <w:r w:rsidRPr="00C546A8">
              <w:rPr>
                <w:b/>
                <w:lang w:val="en"/>
              </w:rPr>
              <w:lastRenderedPageBreak/>
              <w:t>Impact</w:t>
            </w:r>
          </w:p>
          <w:p w:rsidR="00C546A8" w:rsidRPr="00110F09" w:rsidRDefault="00C546A8" w:rsidP="00C546A8">
            <w:pPr>
              <w:pStyle w:val="NoSpacing"/>
              <w:spacing w:after="120"/>
              <w:rPr>
                <w:lang w:val="en"/>
              </w:rPr>
            </w:pPr>
            <w:r>
              <w:rPr>
                <w:lang w:val="en"/>
              </w:rPr>
              <w:t xml:space="preserve">a) </w:t>
            </w:r>
            <w:r w:rsidRPr="00110F09">
              <w:rPr>
                <w:lang w:val="en"/>
              </w:rPr>
              <w:t>Describe any evidence of, or potential for, negative impact</w:t>
            </w:r>
          </w:p>
          <w:p w:rsidR="00C546A8" w:rsidRPr="00110F09" w:rsidRDefault="00C546A8" w:rsidP="00C546A8">
            <w:pPr>
              <w:pStyle w:val="NoSpacing"/>
              <w:spacing w:after="120"/>
              <w:rPr>
                <w:lang w:val="en"/>
              </w:rPr>
            </w:pPr>
            <w:r>
              <w:rPr>
                <w:lang w:val="en"/>
              </w:rPr>
              <w:t>and/or</w:t>
            </w:r>
          </w:p>
          <w:p w:rsidR="00C546A8" w:rsidRDefault="00C546A8" w:rsidP="00C546A8">
            <w:pPr>
              <w:autoSpaceDE w:val="0"/>
              <w:autoSpaceDN w:val="0"/>
              <w:adjustRightInd w:val="0"/>
              <w:rPr>
                <w:lang w:val="en"/>
              </w:rPr>
            </w:pPr>
            <w:r>
              <w:rPr>
                <w:lang w:val="en"/>
              </w:rPr>
              <w:t xml:space="preserve">b) </w:t>
            </w:r>
            <w:r w:rsidRPr="00110F09">
              <w:rPr>
                <w:lang w:val="en"/>
              </w:rPr>
              <w:t>Does the policy contribute positively to the promotion of equality on any particular group</w:t>
            </w:r>
          </w:p>
          <w:p w:rsidR="00CD108D" w:rsidRDefault="00CD108D" w:rsidP="00C546A8">
            <w:pPr>
              <w:autoSpaceDE w:val="0"/>
              <w:autoSpaceDN w:val="0"/>
              <w:adjustRightInd w:val="0"/>
              <w:rPr>
                <w:rFonts w:cs="Arial"/>
                <w:szCs w:val="24"/>
                <w:lang w:eastAsia="en-US"/>
              </w:rPr>
            </w:pPr>
          </w:p>
        </w:tc>
      </w:tr>
      <w:tr w:rsidR="00C546A8" w:rsidTr="00C546A8">
        <w:trPr>
          <w:trHeight w:val="870"/>
        </w:trPr>
        <w:tc>
          <w:tcPr>
            <w:tcW w:w="2836" w:type="dxa"/>
          </w:tcPr>
          <w:p w:rsidR="00C546A8" w:rsidRDefault="00C546A8" w:rsidP="00C546A8">
            <w:pPr>
              <w:autoSpaceDE w:val="0"/>
              <w:autoSpaceDN w:val="0"/>
              <w:adjustRightInd w:val="0"/>
              <w:rPr>
                <w:rFonts w:cs="Arial"/>
                <w:szCs w:val="24"/>
                <w:lang w:eastAsia="en-US"/>
              </w:rPr>
            </w:pPr>
            <w:r>
              <w:rPr>
                <w:rFonts w:cs="Arial"/>
                <w:szCs w:val="24"/>
                <w:lang w:eastAsia="en-US"/>
              </w:rPr>
              <w:t>Gender:</w:t>
            </w:r>
          </w:p>
          <w:p w:rsidR="00C546A8" w:rsidRPr="00110F09" w:rsidRDefault="00C546A8" w:rsidP="00185361">
            <w:pPr>
              <w:pStyle w:val="NoSpacing"/>
              <w:spacing w:after="120"/>
              <w:rPr>
                <w:lang w:val="en"/>
              </w:rPr>
            </w:pPr>
          </w:p>
        </w:tc>
        <w:tc>
          <w:tcPr>
            <w:tcW w:w="6520" w:type="dxa"/>
          </w:tcPr>
          <w:p w:rsidR="00145318" w:rsidRDefault="00CD108D" w:rsidP="00A3235A">
            <w:pPr>
              <w:autoSpaceDE w:val="0"/>
              <w:autoSpaceDN w:val="0"/>
              <w:adjustRightInd w:val="0"/>
              <w:rPr>
                <w:rFonts w:cs="Arial"/>
                <w:szCs w:val="24"/>
                <w:lang w:eastAsia="en-US"/>
              </w:rPr>
            </w:pPr>
            <w:r>
              <w:rPr>
                <w:rFonts w:cs="Arial"/>
                <w:szCs w:val="24"/>
                <w:lang w:eastAsia="en-US"/>
              </w:rPr>
              <w:t xml:space="preserve">Domestic abuse tends to be an issue faced mainly by women, and the strategy covers specialist accommodation </w:t>
            </w:r>
            <w:r w:rsidR="00A3235A">
              <w:rPr>
                <w:rFonts w:cs="Arial"/>
                <w:szCs w:val="24"/>
                <w:lang w:eastAsia="en-US"/>
              </w:rPr>
              <w:t xml:space="preserve">provided through </w:t>
            </w:r>
            <w:r w:rsidR="00145318">
              <w:rPr>
                <w:rFonts w:cs="Arial"/>
                <w:szCs w:val="24"/>
                <w:lang w:eastAsia="en-US"/>
              </w:rPr>
              <w:t xml:space="preserve">Women’s Aid. </w:t>
            </w:r>
          </w:p>
          <w:p w:rsidR="00C546A8" w:rsidRDefault="00145318" w:rsidP="00A3235A">
            <w:pPr>
              <w:autoSpaceDE w:val="0"/>
              <w:autoSpaceDN w:val="0"/>
              <w:adjustRightInd w:val="0"/>
              <w:rPr>
                <w:rFonts w:cs="Arial"/>
                <w:szCs w:val="24"/>
                <w:lang w:eastAsia="en-US"/>
              </w:rPr>
            </w:pPr>
            <w:r>
              <w:rPr>
                <w:rFonts w:cs="Arial"/>
                <w:szCs w:val="24"/>
                <w:lang w:eastAsia="en-US"/>
              </w:rPr>
              <w:t>Our</w:t>
            </w:r>
            <w:r w:rsidR="00CD108D">
              <w:rPr>
                <w:rFonts w:cs="Arial"/>
                <w:szCs w:val="24"/>
                <w:lang w:eastAsia="en-US"/>
              </w:rPr>
              <w:t xml:space="preserve"> homelessness and housing allocation policies </w:t>
            </w:r>
            <w:r w:rsidR="00A3235A">
              <w:rPr>
                <w:rFonts w:cs="Arial"/>
                <w:szCs w:val="24"/>
                <w:lang w:eastAsia="en-US"/>
              </w:rPr>
              <w:t>are designed to ensure that there is no gender inequality in the delivery of housing services.</w:t>
            </w:r>
            <w:r w:rsidR="00CD108D">
              <w:rPr>
                <w:rFonts w:cs="Arial"/>
                <w:szCs w:val="24"/>
                <w:lang w:eastAsia="en-US"/>
              </w:rPr>
              <w:t xml:space="preserve"> </w:t>
            </w:r>
          </w:p>
          <w:p w:rsidR="00BB277D" w:rsidRDefault="00BB277D" w:rsidP="00A3235A">
            <w:pPr>
              <w:autoSpaceDE w:val="0"/>
              <w:autoSpaceDN w:val="0"/>
              <w:adjustRightInd w:val="0"/>
              <w:rPr>
                <w:rFonts w:cs="Arial"/>
                <w:szCs w:val="24"/>
                <w:lang w:eastAsia="en-US"/>
              </w:rPr>
            </w:pPr>
          </w:p>
        </w:tc>
      </w:tr>
      <w:tr w:rsidR="00C546A8" w:rsidTr="00C546A8">
        <w:trPr>
          <w:trHeight w:val="870"/>
        </w:trPr>
        <w:tc>
          <w:tcPr>
            <w:tcW w:w="2836" w:type="dxa"/>
          </w:tcPr>
          <w:p w:rsidR="00C546A8" w:rsidRDefault="00C546A8" w:rsidP="00C546A8">
            <w:pPr>
              <w:rPr>
                <w:rFonts w:cs="Arial"/>
                <w:sz w:val="23"/>
                <w:szCs w:val="23"/>
              </w:rPr>
            </w:pPr>
            <w:r>
              <w:rPr>
                <w:rFonts w:cs="Arial"/>
                <w:sz w:val="23"/>
                <w:szCs w:val="23"/>
              </w:rPr>
              <w:t>Age:</w:t>
            </w:r>
          </w:p>
          <w:p w:rsidR="00C546A8" w:rsidRPr="00110F09" w:rsidRDefault="00C546A8" w:rsidP="00185361">
            <w:pPr>
              <w:pStyle w:val="NoSpacing"/>
              <w:spacing w:after="120"/>
              <w:rPr>
                <w:lang w:val="en"/>
              </w:rPr>
            </w:pPr>
          </w:p>
        </w:tc>
        <w:tc>
          <w:tcPr>
            <w:tcW w:w="6520" w:type="dxa"/>
          </w:tcPr>
          <w:p w:rsidR="00A3235A" w:rsidRPr="00A3235A" w:rsidRDefault="00A3235A" w:rsidP="00C35A93">
            <w:pPr>
              <w:autoSpaceDE w:val="0"/>
              <w:autoSpaceDN w:val="0"/>
              <w:adjustRightInd w:val="0"/>
              <w:rPr>
                <w:rFonts w:cs="Arial"/>
                <w:szCs w:val="24"/>
                <w:u w:val="single"/>
                <w:lang w:eastAsia="en-US"/>
              </w:rPr>
            </w:pPr>
            <w:r w:rsidRPr="00A3235A">
              <w:rPr>
                <w:rFonts w:cs="Arial"/>
                <w:szCs w:val="24"/>
                <w:u w:val="single"/>
                <w:lang w:eastAsia="en-US"/>
              </w:rPr>
              <w:t>Older People</w:t>
            </w:r>
          </w:p>
          <w:p w:rsidR="00145318" w:rsidRDefault="00145318" w:rsidP="00C35A93">
            <w:pPr>
              <w:autoSpaceDE w:val="0"/>
              <w:autoSpaceDN w:val="0"/>
              <w:adjustRightInd w:val="0"/>
              <w:rPr>
                <w:rFonts w:cs="Arial"/>
                <w:szCs w:val="24"/>
                <w:lang w:eastAsia="en-US"/>
              </w:rPr>
            </w:pPr>
          </w:p>
          <w:p w:rsidR="00C546A8" w:rsidRDefault="00A3235A" w:rsidP="00C35A93">
            <w:pPr>
              <w:autoSpaceDE w:val="0"/>
              <w:autoSpaceDN w:val="0"/>
              <w:adjustRightInd w:val="0"/>
              <w:rPr>
                <w:rFonts w:cs="Arial"/>
                <w:szCs w:val="24"/>
                <w:lang w:eastAsia="en-US"/>
              </w:rPr>
            </w:pPr>
            <w:r>
              <w:rPr>
                <w:rFonts w:cs="Arial"/>
                <w:szCs w:val="24"/>
                <w:lang w:eastAsia="en-US"/>
              </w:rPr>
              <w:t>The Local Housing Strategy highlights demographic trends that will result in an aging population</w:t>
            </w:r>
            <w:r w:rsidR="00145318">
              <w:rPr>
                <w:rFonts w:cs="Arial"/>
                <w:szCs w:val="24"/>
                <w:lang w:eastAsia="en-US"/>
              </w:rPr>
              <w:t xml:space="preserve">. </w:t>
            </w:r>
            <w:r w:rsidR="00145318">
              <w:t>We need to plan for long term needs to ensure this group is not disadvantaged in terms of access to suitable housing</w:t>
            </w:r>
            <w:r>
              <w:rPr>
                <w:rFonts w:cs="Arial"/>
                <w:szCs w:val="24"/>
                <w:lang w:eastAsia="en-US"/>
              </w:rPr>
              <w:t xml:space="preserve"> and the actions contained in the strategy aim to address the housing needs arising from this.</w:t>
            </w:r>
            <w:r w:rsidR="00B82081">
              <w:rPr>
                <w:rFonts w:cs="Arial"/>
                <w:szCs w:val="24"/>
                <w:lang w:eastAsia="en-US"/>
              </w:rPr>
              <w:t xml:space="preserve"> </w:t>
            </w:r>
          </w:p>
          <w:p w:rsidR="00F01FDA" w:rsidRPr="00B82081" w:rsidRDefault="00F01FDA" w:rsidP="00C35A93">
            <w:pPr>
              <w:autoSpaceDE w:val="0"/>
              <w:autoSpaceDN w:val="0"/>
              <w:adjustRightInd w:val="0"/>
              <w:rPr>
                <w:rFonts w:cs="Arial"/>
                <w:szCs w:val="24"/>
                <w:lang w:eastAsia="en-US"/>
              </w:rPr>
            </w:pPr>
          </w:p>
          <w:p w:rsidR="00B82081" w:rsidRPr="00B82081" w:rsidRDefault="00BB7B19" w:rsidP="00C35A93">
            <w:pPr>
              <w:autoSpaceDE w:val="0"/>
              <w:autoSpaceDN w:val="0"/>
              <w:adjustRightInd w:val="0"/>
              <w:rPr>
                <w:rFonts w:cs="Arial"/>
                <w:szCs w:val="24"/>
                <w:lang w:eastAsia="en-US"/>
              </w:rPr>
            </w:pPr>
            <w:r>
              <w:rPr>
                <w:szCs w:val="24"/>
              </w:rPr>
              <w:t>Many</w:t>
            </w:r>
            <w:r w:rsidR="00B82081" w:rsidRPr="00B82081">
              <w:rPr>
                <w:szCs w:val="24"/>
              </w:rPr>
              <w:t xml:space="preserve"> people will be able to live at home for longer </w:t>
            </w:r>
            <w:r>
              <w:rPr>
                <w:szCs w:val="24"/>
              </w:rPr>
              <w:t xml:space="preserve">and </w:t>
            </w:r>
            <w:r w:rsidR="00B82081" w:rsidRPr="00B82081">
              <w:rPr>
                <w:szCs w:val="24"/>
              </w:rPr>
              <w:t>there will be an increasing need for suitable accessible accommodation and associated support services</w:t>
            </w:r>
            <w:r>
              <w:rPr>
                <w:szCs w:val="24"/>
              </w:rPr>
              <w:t xml:space="preserve"> (links to increased prevalence of disability and ill-health with age)</w:t>
            </w:r>
            <w:r w:rsidR="00B82081" w:rsidRPr="00B82081">
              <w:rPr>
                <w:szCs w:val="24"/>
              </w:rPr>
              <w:t xml:space="preserve">, including for people in the oldest age groups (75+). </w:t>
            </w:r>
            <w:r>
              <w:rPr>
                <w:szCs w:val="24"/>
              </w:rPr>
              <w:t>A</w:t>
            </w:r>
            <w:r w:rsidR="00B82081" w:rsidRPr="00B82081">
              <w:rPr>
                <w:szCs w:val="24"/>
              </w:rPr>
              <w:t xml:space="preserve"> significant proportion of the elderly population is likely to live alone, bringing a particular set of challenges in terms of housing and care.</w:t>
            </w:r>
          </w:p>
          <w:p w:rsidR="00B82081" w:rsidRDefault="00B82081" w:rsidP="00C35A93">
            <w:pPr>
              <w:autoSpaceDE w:val="0"/>
              <w:autoSpaceDN w:val="0"/>
              <w:adjustRightInd w:val="0"/>
              <w:rPr>
                <w:rFonts w:cs="Arial"/>
                <w:szCs w:val="24"/>
                <w:lang w:eastAsia="en-US"/>
              </w:rPr>
            </w:pPr>
          </w:p>
          <w:p w:rsidR="00F01FDA" w:rsidRDefault="00F01FDA" w:rsidP="00C35A93">
            <w:pPr>
              <w:autoSpaceDE w:val="0"/>
              <w:autoSpaceDN w:val="0"/>
              <w:adjustRightInd w:val="0"/>
              <w:rPr>
                <w:rFonts w:cs="Arial"/>
                <w:szCs w:val="24"/>
                <w:lang w:eastAsia="en-US"/>
              </w:rPr>
            </w:pPr>
            <w:r>
              <w:rPr>
                <w:rFonts w:cs="Arial"/>
                <w:szCs w:val="24"/>
                <w:lang w:eastAsia="en-US"/>
              </w:rPr>
              <w:t>Older people are more likely to experience fuel poverty</w:t>
            </w:r>
          </w:p>
          <w:p w:rsidR="00BB277D" w:rsidRDefault="00BB277D" w:rsidP="00C35A93">
            <w:pPr>
              <w:autoSpaceDE w:val="0"/>
              <w:autoSpaceDN w:val="0"/>
              <w:adjustRightInd w:val="0"/>
              <w:rPr>
                <w:rFonts w:cs="Arial"/>
                <w:szCs w:val="24"/>
                <w:lang w:eastAsia="en-US"/>
              </w:rPr>
            </w:pPr>
          </w:p>
          <w:p w:rsidR="00A3235A" w:rsidRDefault="00A3235A" w:rsidP="00C35A93">
            <w:pPr>
              <w:autoSpaceDE w:val="0"/>
              <w:autoSpaceDN w:val="0"/>
              <w:adjustRightInd w:val="0"/>
              <w:rPr>
                <w:rFonts w:cs="Arial"/>
                <w:szCs w:val="24"/>
                <w:u w:val="single"/>
                <w:lang w:eastAsia="en-US"/>
              </w:rPr>
            </w:pPr>
            <w:r w:rsidRPr="00A3235A">
              <w:rPr>
                <w:rFonts w:cs="Arial"/>
                <w:szCs w:val="24"/>
                <w:u w:val="single"/>
                <w:lang w:eastAsia="en-US"/>
              </w:rPr>
              <w:t>Younger People</w:t>
            </w:r>
          </w:p>
          <w:p w:rsidR="00F01FDA" w:rsidRDefault="00A3235A" w:rsidP="00C35A93">
            <w:pPr>
              <w:autoSpaceDE w:val="0"/>
              <w:autoSpaceDN w:val="0"/>
              <w:adjustRightInd w:val="0"/>
              <w:rPr>
                <w:rFonts w:cs="Arial"/>
                <w:szCs w:val="24"/>
                <w:lang w:eastAsia="en-US"/>
              </w:rPr>
            </w:pPr>
            <w:r>
              <w:rPr>
                <w:rFonts w:cs="Arial"/>
                <w:szCs w:val="24"/>
                <w:lang w:eastAsia="en-US"/>
              </w:rPr>
              <w:t xml:space="preserve">The strategy recognises that younger people are more likely to be at risk of homelessness, that they have more difficulty accessing housing and live in Houses of Multiple Occupation and that housing may be unaffordable for them. </w:t>
            </w:r>
          </w:p>
          <w:p w:rsidR="00F01FDA" w:rsidRDefault="00F01FDA" w:rsidP="00C35A93">
            <w:pPr>
              <w:autoSpaceDE w:val="0"/>
              <w:autoSpaceDN w:val="0"/>
              <w:adjustRightInd w:val="0"/>
              <w:rPr>
                <w:rFonts w:cs="Arial"/>
                <w:szCs w:val="24"/>
                <w:lang w:eastAsia="en-US"/>
              </w:rPr>
            </w:pPr>
          </w:p>
          <w:p w:rsidR="00A3235A" w:rsidRDefault="00A3235A" w:rsidP="00C35A93">
            <w:pPr>
              <w:autoSpaceDE w:val="0"/>
              <w:autoSpaceDN w:val="0"/>
              <w:adjustRightInd w:val="0"/>
              <w:rPr>
                <w:rFonts w:cs="Arial"/>
                <w:szCs w:val="24"/>
                <w:lang w:eastAsia="en-US"/>
              </w:rPr>
            </w:pPr>
            <w:r>
              <w:rPr>
                <w:rFonts w:cs="Arial"/>
                <w:szCs w:val="24"/>
                <w:lang w:eastAsia="en-US"/>
              </w:rPr>
              <w:t>We also recognise the need for multi-agency working, including specialist accommodation for young people with specialist needs.</w:t>
            </w:r>
          </w:p>
          <w:p w:rsidR="00A15880" w:rsidRDefault="00A15880" w:rsidP="00C35A93">
            <w:pPr>
              <w:autoSpaceDE w:val="0"/>
              <w:autoSpaceDN w:val="0"/>
              <w:adjustRightInd w:val="0"/>
              <w:rPr>
                <w:rFonts w:cs="Arial"/>
                <w:szCs w:val="24"/>
                <w:lang w:eastAsia="en-US"/>
              </w:rPr>
            </w:pPr>
          </w:p>
          <w:p w:rsidR="00A15880" w:rsidRDefault="00A15880" w:rsidP="00C35A93">
            <w:pPr>
              <w:autoSpaceDE w:val="0"/>
              <w:autoSpaceDN w:val="0"/>
              <w:adjustRightInd w:val="0"/>
              <w:rPr>
                <w:rFonts w:cs="Arial"/>
                <w:szCs w:val="24"/>
                <w:lang w:eastAsia="en-US"/>
              </w:rPr>
            </w:pPr>
          </w:p>
          <w:p w:rsidR="00A15880" w:rsidRPr="005D5855" w:rsidRDefault="00A15880" w:rsidP="00A15880">
            <w:r w:rsidRPr="005D5855">
              <w:t xml:space="preserve">Recent profiling of HC tenants shows that </w:t>
            </w:r>
            <w:r w:rsidRPr="005D5855">
              <w:rPr>
                <w:b/>
                <w:bCs/>
              </w:rPr>
              <w:t>5%</w:t>
            </w:r>
            <w:r w:rsidRPr="005D5855">
              <w:t xml:space="preserve"> of tenants are in the 16-24 age </w:t>
            </w:r>
            <w:proofErr w:type="gramStart"/>
            <w:r w:rsidRPr="005D5855">
              <w:t>group</w:t>
            </w:r>
            <w:proofErr w:type="gramEnd"/>
            <w:r w:rsidRPr="005D5855">
              <w:t>.</w:t>
            </w:r>
          </w:p>
          <w:p w:rsidR="00A15880" w:rsidRPr="005D5855" w:rsidRDefault="00A15880" w:rsidP="00A15880"/>
          <w:p w:rsidR="00A15880" w:rsidRPr="005D5855" w:rsidRDefault="00A15880" w:rsidP="00A15880">
            <w:r w:rsidRPr="005D5855">
              <w:t>However, if you look at tenancy sustainment in this group:</w:t>
            </w:r>
          </w:p>
          <w:p w:rsidR="00A15880" w:rsidRPr="005D5855" w:rsidRDefault="00A15880" w:rsidP="00A15880"/>
          <w:p w:rsidR="00A15880" w:rsidRPr="005D5855" w:rsidRDefault="00A15880" w:rsidP="00A15880">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005D5855">
              <w:t>10% of transfer applicants who do not sustain their tenancies are aged 16-24</w:t>
            </w:r>
          </w:p>
          <w:p w:rsidR="00A15880" w:rsidRPr="005D5855" w:rsidRDefault="00A15880" w:rsidP="00A15880">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005D5855">
              <w:t>15% of homeless applicants who do not sustain their tenancies are aged 16-24</w:t>
            </w:r>
          </w:p>
          <w:p w:rsidR="00A15880" w:rsidRPr="005D5855" w:rsidRDefault="00A15880" w:rsidP="00A15880">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005D5855">
              <w:t>24% of housing list tenants who do not sustain their tenancies are aged 16-24</w:t>
            </w:r>
          </w:p>
          <w:p w:rsidR="00A15880" w:rsidRPr="005D5855" w:rsidRDefault="00A15880" w:rsidP="00A15880">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005D5855">
              <w:t>10% of the “other” category who do not sustain their tenancies are aged 16-24</w:t>
            </w:r>
          </w:p>
          <w:p w:rsidR="00A15880" w:rsidRPr="005D5855" w:rsidRDefault="00A15880" w:rsidP="00A15880"/>
          <w:p w:rsidR="00A15880" w:rsidRPr="005D5855" w:rsidRDefault="00A15880" w:rsidP="00A15880">
            <w:pPr>
              <w:autoSpaceDE w:val="0"/>
              <w:autoSpaceDN w:val="0"/>
              <w:adjustRightInd w:val="0"/>
            </w:pPr>
            <w:r w:rsidRPr="005D5855">
              <w:t xml:space="preserve">The group identified overall as not sustaining tenancies are those from the housing list – and a disproportionate number of these are in the 16-24 age </w:t>
            </w:r>
            <w:proofErr w:type="gramStart"/>
            <w:r w:rsidRPr="005D5855">
              <w:t>bracket</w:t>
            </w:r>
            <w:proofErr w:type="gramEnd"/>
            <w:r w:rsidRPr="005D5855">
              <w:t>.</w:t>
            </w:r>
          </w:p>
          <w:p w:rsidR="00A15880" w:rsidRPr="005D5855" w:rsidRDefault="00A15880" w:rsidP="00A15880">
            <w:pPr>
              <w:autoSpaceDE w:val="0"/>
              <w:autoSpaceDN w:val="0"/>
              <w:adjustRightInd w:val="0"/>
            </w:pPr>
          </w:p>
          <w:p w:rsidR="00A3235A" w:rsidRDefault="00A15880" w:rsidP="00A15880">
            <w:pPr>
              <w:autoSpaceDE w:val="0"/>
              <w:autoSpaceDN w:val="0"/>
              <w:adjustRightInd w:val="0"/>
            </w:pPr>
            <w:r w:rsidRPr="005D5855">
              <w:t>A working group is being set up to look at tenancy sustainment issues and these issues will be addressed through this. A tenancy sustainment policy is being developed and an equality impact assessment will be carried out as part of the development process.</w:t>
            </w:r>
          </w:p>
          <w:p w:rsidR="00A15880" w:rsidRDefault="00A15880" w:rsidP="00A15880">
            <w:pPr>
              <w:autoSpaceDE w:val="0"/>
              <w:autoSpaceDN w:val="0"/>
              <w:adjustRightInd w:val="0"/>
              <w:rPr>
                <w:rFonts w:cs="Arial"/>
                <w:szCs w:val="24"/>
                <w:lang w:eastAsia="en-US"/>
              </w:rPr>
            </w:pPr>
          </w:p>
        </w:tc>
      </w:tr>
      <w:tr w:rsidR="00C546A8" w:rsidTr="00C546A8">
        <w:trPr>
          <w:trHeight w:val="870"/>
        </w:trPr>
        <w:tc>
          <w:tcPr>
            <w:tcW w:w="2836" w:type="dxa"/>
          </w:tcPr>
          <w:p w:rsidR="00C546A8" w:rsidRDefault="00C546A8" w:rsidP="00C546A8">
            <w:pPr>
              <w:rPr>
                <w:rFonts w:cs="Arial"/>
                <w:sz w:val="23"/>
                <w:szCs w:val="23"/>
              </w:rPr>
            </w:pPr>
            <w:r>
              <w:rPr>
                <w:rFonts w:cs="Arial"/>
                <w:sz w:val="23"/>
                <w:szCs w:val="23"/>
              </w:rPr>
              <w:lastRenderedPageBreak/>
              <w:t>Disability:</w:t>
            </w:r>
          </w:p>
          <w:p w:rsidR="00C546A8" w:rsidRPr="00110F09" w:rsidRDefault="00C546A8" w:rsidP="00185361">
            <w:pPr>
              <w:pStyle w:val="NoSpacing"/>
              <w:spacing w:after="120"/>
              <w:rPr>
                <w:lang w:val="en"/>
              </w:rPr>
            </w:pPr>
          </w:p>
        </w:tc>
        <w:tc>
          <w:tcPr>
            <w:tcW w:w="6520" w:type="dxa"/>
          </w:tcPr>
          <w:p w:rsidR="00C546A8" w:rsidRDefault="00A3235A" w:rsidP="00C35A93">
            <w:pPr>
              <w:autoSpaceDE w:val="0"/>
              <w:autoSpaceDN w:val="0"/>
              <w:adjustRightInd w:val="0"/>
              <w:rPr>
                <w:rFonts w:cs="Arial"/>
                <w:szCs w:val="24"/>
                <w:lang w:eastAsia="en-US"/>
              </w:rPr>
            </w:pPr>
            <w:r>
              <w:rPr>
                <w:rFonts w:cs="Arial"/>
                <w:szCs w:val="24"/>
                <w:lang w:eastAsia="en-US"/>
              </w:rPr>
              <w:t xml:space="preserve">The Local Housing Strategy recognises the needs of </w:t>
            </w:r>
            <w:r w:rsidR="00B82081">
              <w:rPr>
                <w:rFonts w:cs="Arial"/>
                <w:szCs w:val="24"/>
                <w:lang w:eastAsia="en-US"/>
              </w:rPr>
              <w:t>disabled people</w:t>
            </w:r>
            <w:r>
              <w:rPr>
                <w:rFonts w:cs="Arial"/>
                <w:szCs w:val="24"/>
                <w:lang w:eastAsia="en-US"/>
              </w:rPr>
              <w:t xml:space="preserve"> and aims to ensure that people are able to live in appropriate housing that meets their needs.</w:t>
            </w:r>
            <w:r w:rsidR="00B82081">
              <w:rPr>
                <w:rFonts w:cs="Arial"/>
                <w:szCs w:val="24"/>
                <w:lang w:eastAsia="en-US"/>
              </w:rPr>
              <w:t xml:space="preserve"> As noted above, there are links to an aging population but there are also identified housing requirements of young people with complex needs.</w:t>
            </w:r>
          </w:p>
          <w:p w:rsidR="00F01FDA" w:rsidRDefault="00F01FDA" w:rsidP="00C35A93">
            <w:pPr>
              <w:autoSpaceDE w:val="0"/>
              <w:autoSpaceDN w:val="0"/>
              <w:adjustRightInd w:val="0"/>
              <w:rPr>
                <w:rFonts w:cs="Arial"/>
                <w:szCs w:val="24"/>
                <w:lang w:eastAsia="en-US"/>
              </w:rPr>
            </w:pPr>
          </w:p>
          <w:p w:rsidR="00145318" w:rsidRDefault="00145318" w:rsidP="00C35A93">
            <w:pPr>
              <w:autoSpaceDE w:val="0"/>
              <w:autoSpaceDN w:val="0"/>
              <w:adjustRightInd w:val="0"/>
              <w:rPr>
                <w:rFonts w:cs="Arial"/>
                <w:szCs w:val="24"/>
                <w:lang w:eastAsia="en-US"/>
              </w:rPr>
            </w:pPr>
            <w:r>
              <w:t xml:space="preserve">We need to make sure that </w:t>
            </w:r>
            <w:r w:rsidR="00B82081">
              <w:t>disabled people</w:t>
            </w:r>
            <w:r>
              <w:t xml:space="preserve"> are able to stay in their own homes or access accommodation that will meet their needs</w:t>
            </w:r>
            <w:r w:rsidR="00BB7B19">
              <w:t xml:space="preserve">. </w:t>
            </w:r>
            <w:r w:rsidR="00BB7B19" w:rsidRPr="00BB7B19">
              <w:rPr>
                <w:szCs w:val="24"/>
              </w:rPr>
              <w:t>There is evidence of the need for accessible / adapted property, with a particular need for ground floor / level access housing</w:t>
            </w:r>
            <w:r w:rsidR="00BB7B19">
              <w:rPr>
                <w:szCs w:val="24"/>
              </w:rPr>
              <w:t>.</w:t>
            </w:r>
          </w:p>
          <w:p w:rsidR="00145318" w:rsidRDefault="00145318" w:rsidP="00C35A93">
            <w:pPr>
              <w:autoSpaceDE w:val="0"/>
              <w:autoSpaceDN w:val="0"/>
              <w:adjustRightInd w:val="0"/>
              <w:rPr>
                <w:rFonts w:cs="Arial"/>
                <w:szCs w:val="24"/>
                <w:lang w:eastAsia="en-US"/>
              </w:rPr>
            </w:pPr>
          </w:p>
          <w:p w:rsidR="00A3235A" w:rsidRDefault="00A3235A" w:rsidP="00C35A93">
            <w:pPr>
              <w:autoSpaceDE w:val="0"/>
              <w:autoSpaceDN w:val="0"/>
              <w:adjustRightInd w:val="0"/>
              <w:rPr>
                <w:rFonts w:cs="Arial"/>
                <w:szCs w:val="24"/>
                <w:lang w:eastAsia="en-US"/>
              </w:rPr>
            </w:pPr>
            <w:r>
              <w:rPr>
                <w:rFonts w:cs="Arial"/>
                <w:szCs w:val="24"/>
                <w:lang w:eastAsia="en-US"/>
              </w:rPr>
              <w:t>We do this by prioritising expenditure on equipment and adaptations, telecare services and care at home through NHS Highland, so that people can remain in their own homes for as long as possible, where this is their preferences.</w:t>
            </w:r>
          </w:p>
          <w:p w:rsidR="006F2CE5" w:rsidRDefault="006F2CE5" w:rsidP="00C35A93">
            <w:pPr>
              <w:autoSpaceDE w:val="0"/>
              <w:autoSpaceDN w:val="0"/>
              <w:adjustRightInd w:val="0"/>
              <w:rPr>
                <w:rFonts w:cs="Arial"/>
                <w:szCs w:val="24"/>
                <w:lang w:eastAsia="en-US"/>
              </w:rPr>
            </w:pPr>
          </w:p>
          <w:p w:rsidR="006F2CE5" w:rsidRPr="006F2CE5" w:rsidRDefault="006F2CE5" w:rsidP="00C35A93">
            <w:pPr>
              <w:autoSpaceDE w:val="0"/>
              <w:autoSpaceDN w:val="0"/>
              <w:adjustRightInd w:val="0"/>
              <w:rPr>
                <w:rFonts w:cs="Arial"/>
                <w:szCs w:val="24"/>
                <w:lang w:eastAsia="en-US"/>
              </w:rPr>
            </w:pPr>
            <w:r w:rsidRPr="006F2CE5">
              <w:rPr>
                <w:rFonts w:cs="Arial"/>
                <w:szCs w:val="24"/>
                <w:lang w:eastAsia="en-US"/>
              </w:rPr>
              <w:t>There is recognition that Housing Support is less likely to be available in rural areas.</w:t>
            </w:r>
          </w:p>
          <w:p w:rsidR="00BB277D" w:rsidRDefault="00BB277D" w:rsidP="00C35A93">
            <w:pPr>
              <w:autoSpaceDE w:val="0"/>
              <w:autoSpaceDN w:val="0"/>
              <w:adjustRightInd w:val="0"/>
              <w:rPr>
                <w:rFonts w:cs="Arial"/>
                <w:szCs w:val="24"/>
                <w:lang w:eastAsia="en-US"/>
              </w:rPr>
            </w:pPr>
          </w:p>
          <w:p w:rsidR="006F2CE5" w:rsidRDefault="006F2CE5" w:rsidP="00C35A93">
            <w:pPr>
              <w:autoSpaceDE w:val="0"/>
              <w:autoSpaceDN w:val="0"/>
              <w:adjustRightInd w:val="0"/>
              <w:rPr>
                <w:rFonts w:cs="Arial"/>
                <w:szCs w:val="24"/>
                <w:lang w:eastAsia="en-US"/>
              </w:rPr>
            </w:pPr>
            <w:r w:rsidRPr="006F2CE5">
              <w:rPr>
                <w:rFonts w:cs="Arial"/>
                <w:szCs w:val="24"/>
                <w:lang w:eastAsia="en-US"/>
              </w:rPr>
              <w:t>There appears to be a significant increase in households experiencing homelessness who also have mental health issues (from 38 in 2013/14 to 111 in 2016/17).</w:t>
            </w:r>
          </w:p>
          <w:p w:rsidR="006F2CE5" w:rsidRDefault="006F2CE5" w:rsidP="00C35A93">
            <w:pPr>
              <w:autoSpaceDE w:val="0"/>
              <w:autoSpaceDN w:val="0"/>
              <w:adjustRightInd w:val="0"/>
              <w:rPr>
                <w:rFonts w:cs="Arial"/>
                <w:szCs w:val="24"/>
                <w:lang w:eastAsia="en-US"/>
              </w:rPr>
            </w:pPr>
          </w:p>
          <w:p w:rsidR="00A3235A" w:rsidRDefault="00A3235A" w:rsidP="00A3235A">
            <w:pPr>
              <w:autoSpaceDE w:val="0"/>
              <w:autoSpaceDN w:val="0"/>
              <w:adjustRightInd w:val="0"/>
              <w:rPr>
                <w:rFonts w:cs="Arial"/>
                <w:szCs w:val="24"/>
                <w:lang w:eastAsia="en-US"/>
              </w:rPr>
            </w:pPr>
            <w:r>
              <w:rPr>
                <w:rFonts w:cs="Arial"/>
                <w:szCs w:val="24"/>
                <w:lang w:eastAsia="en-US"/>
              </w:rPr>
              <w:t>All new housing is built to housing for varying needs standards and we use our new build programme to meet specific housing needs where we cannot do this by adaptations within existing housing.</w:t>
            </w:r>
          </w:p>
          <w:p w:rsidR="00F01FDA" w:rsidRPr="002562B1" w:rsidRDefault="00F01FDA" w:rsidP="002562B1">
            <w:pPr>
              <w:autoSpaceDE w:val="0"/>
              <w:autoSpaceDN w:val="0"/>
              <w:adjustRightInd w:val="0"/>
              <w:rPr>
                <w:rFonts w:cs="Arial"/>
                <w:color w:val="FF0000"/>
                <w:szCs w:val="24"/>
                <w:lang w:eastAsia="en-US"/>
              </w:rPr>
            </w:pPr>
          </w:p>
        </w:tc>
      </w:tr>
      <w:tr w:rsidR="00C546A8" w:rsidTr="00C546A8">
        <w:trPr>
          <w:trHeight w:val="870"/>
        </w:trPr>
        <w:tc>
          <w:tcPr>
            <w:tcW w:w="2836" w:type="dxa"/>
          </w:tcPr>
          <w:p w:rsidR="00C546A8" w:rsidRDefault="00C546A8" w:rsidP="00C546A8">
            <w:pPr>
              <w:rPr>
                <w:rFonts w:cs="Arial"/>
                <w:sz w:val="23"/>
                <w:szCs w:val="23"/>
              </w:rPr>
            </w:pPr>
            <w:r>
              <w:rPr>
                <w:rFonts w:cs="Arial"/>
                <w:sz w:val="23"/>
                <w:szCs w:val="23"/>
              </w:rPr>
              <w:lastRenderedPageBreak/>
              <w:t>Religion or belief:</w:t>
            </w:r>
          </w:p>
          <w:p w:rsidR="00C546A8" w:rsidRPr="00110F09" w:rsidRDefault="00C546A8" w:rsidP="00185361">
            <w:pPr>
              <w:pStyle w:val="NoSpacing"/>
              <w:spacing w:after="120"/>
              <w:rPr>
                <w:lang w:val="en"/>
              </w:rPr>
            </w:pPr>
          </w:p>
        </w:tc>
        <w:tc>
          <w:tcPr>
            <w:tcW w:w="6520" w:type="dxa"/>
          </w:tcPr>
          <w:p w:rsidR="00C546A8" w:rsidRDefault="00BD6C38" w:rsidP="00BD6C38">
            <w:pPr>
              <w:autoSpaceDE w:val="0"/>
              <w:autoSpaceDN w:val="0"/>
              <w:adjustRightInd w:val="0"/>
              <w:rPr>
                <w:rFonts w:cs="Arial"/>
                <w:szCs w:val="24"/>
                <w:lang w:eastAsia="en-US"/>
              </w:rPr>
            </w:pPr>
            <w:r>
              <w:rPr>
                <w:rFonts w:cs="Arial"/>
                <w:szCs w:val="24"/>
                <w:lang w:eastAsia="en-US"/>
              </w:rPr>
              <w:t>Housing policies supporting this strategy have all had equality impact assessments carried out, as far as possible negative impact will have been addressed at that time</w:t>
            </w:r>
            <w:r w:rsidR="00BB277D">
              <w:rPr>
                <w:rFonts w:cs="Arial"/>
                <w:szCs w:val="24"/>
                <w:lang w:eastAsia="en-US"/>
              </w:rPr>
              <w:t>.</w:t>
            </w:r>
            <w:r>
              <w:rPr>
                <w:rFonts w:cs="Arial"/>
                <w:szCs w:val="24"/>
                <w:lang w:eastAsia="en-US"/>
              </w:rPr>
              <w:t xml:space="preserve"> No specific issues </w:t>
            </w:r>
            <w:r w:rsidR="00BB7B19">
              <w:rPr>
                <w:rFonts w:cs="Arial"/>
                <w:szCs w:val="24"/>
                <w:lang w:eastAsia="en-US"/>
              </w:rPr>
              <w:t xml:space="preserve">are </w:t>
            </w:r>
            <w:r>
              <w:rPr>
                <w:rFonts w:cs="Arial"/>
                <w:szCs w:val="24"/>
                <w:lang w:eastAsia="en-US"/>
              </w:rPr>
              <w:t>identified for religion or belief.</w:t>
            </w:r>
          </w:p>
          <w:p w:rsidR="00BB7B19" w:rsidRDefault="00BB7B19" w:rsidP="00BD6C38">
            <w:pPr>
              <w:autoSpaceDE w:val="0"/>
              <w:autoSpaceDN w:val="0"/>
              <w:adjustRightInd w:val="0"/>
              <w:rPr>
                <w:rFonts w:cs="Arial"/>
                <w:szCs w:val="24"/>
                <w:lang w:eastAsia="en-US"/>
              </w:rPr>
            </w:pPr>
          </w:p>
        </w:tc>
      </w:tr>
      <w:tr w:rsidR="00C546A8" w:rsidTr="00C546A8">
        <w:trPr>
          <w:trHeight w:val="870"/>
        </w:trPr>
        <w:tc>
          <w:tcPr>
            <w:tcW w:w="2836" w:type="dxa"/>
          </w:tcPr>
          <w:p w:rsidR="00C546A8" w:rsidRDefault="00C546A8" w:rsidP="00C546A8">
            <w:pPr>
              <w:rPr>
                <w:rFonts w:cs="Arial"/>
                <w:sz w:val="23"/>
                <w:szCs w:val="23"/>
              </w:rPr>
            </w:pPr>
            <w:r>
              <w:rPr>
                <w:rFonts w:cs="Arial"/>
                <w:sz w:val="23"/>
                <w:szCs w:val="23"/>
              </w:rPr>
              <w:t>Race:</w:t>
            </w:r>
          </w:p>
          <w:p w:rsidR="00C546A8" w:rsidRPr="00110F09" w:rsidRDefault="00C546A8" w:rsidP="00185361">
            <w:pPr>
              <w:pStyle w:val="NoSpacing"/>
              <w:spacing w:after="120"/>
              <w:rPr>
                <w:lang w:val="en"/>
              </w:rPr>
            </w:pPr>
          </w:p>
        </w:tc>
        <w:tc>
          <w:tcPr>
            <w:tcW w:w="6520" w:type="dxa"/>
          </w:tcPr>
          <w:p w:rsidR="00C546A8" w:rsidRDefault="00BB277D" w:rsidP="00C35A93">
            <w:pPr>
              <w:autoSpaceDE w:val="0"/>
              <w:autoSpaceDN w:val="0"/>
              <w:adjustRightInd w:val="0"/>
              <w:rPr>
                <w:rFonts w:cs="Arial"/>
                <w:szCs w:val="24"/>
                <w:lang w:eastAsia="en-US"/>
              </w:rPr>
            </w:pPr>
            <w:r>
              <w:rPr>
                <w:rFonts w:cs="Arial"/>
                <w:szCs w:val="24"/>
                <w:lang w:eastAsia="en-US"/>
              </w:rPr>
              <w:t>We monitor housing applications and outcomes from ethnic groups.</w:t>
            </w:r>
            <w:r w:rsidR="002562B1">
              <w:rPr>
                <w:rFonts w:cs="Arial"/>
                <w:szCs w:val="24"/>
                <w:lang w:eastAsia="en-US"/>
              </w:rPr>
              <w:t xml:space="preserve"> Aside from Gypsy/Travellers there are no specific issues identified for minority ethnic groups. Housing policies supporting this strategy have all had equality impact assessments carried out, as far as possible negative impact will have been addressed at that time</w:t>
            </w:r>
          </w:p>
          <w:p w:rsidR="00BB277D" w:rsidRDefault="00BB277D" w:rsidP="00C35A93">
            <w:pPr>
              <w:autoSpaceDE w:val="0"/>
              <w:autoSpaceDN w:val="0"/>
              <w:adjustRightInd w:val="0"/>
              <w:rPr>
                <w:rFonts w:cs="Arial"/>
                <w:szCs w:val="24"/>
                <w:lang w:eastAsia="en-US"/>
              </w:rPr>
            </w:pPr>
          </w:p>
          <w:p w:rsidR="00BB277D" w:rsidRPr="002562B1" w:rsidRDefault="00BB277D" w:rsidP="00C35A93">
            <w:pPr>
              <w:autoSpaceDE w:val="0"/>
              <w:autoSpaceDN w:val="0"/>
              <w:adjustRightInd w:val="0"/>
              <w:rPr>
                <w:rFonts w:cs="Arial"/>
                <w:szCs w:val="24"/>
                <w:lang w:eastAsia="en-US"/>
              </w:rPr>
            </w:pPr>
            <w:r w:rsidRPr="002562B1">
              <w:rPr>
                <w:rFonts w:cs="Arial"/>
                <w:szCs w:val="24"/>
                <w:lang w:eastAsia="en-US"/>
              </w:rPr>
              <w:t>The Local Housing Strategy is based on an accommodation needs assessment for Gypsy/Travellers.</w:t>
            </w:r>
          </w:p>
          <w:p w:rsidR="00BB277D" w:rsidRDefault="002562B1" w:rsidP="002562B1">
            <w:pPr>
              <w:autoSpaceDE w:val="0"/>
              <w:autoSpaceDN w:val="0"/>
              <w:adjustRightInd w:val="0"/>
              <w:rPr>
                <w:rFonts w:cs="Arial"/>
                <w:szCs w:val="24"/>
                <w:lang w:eastAsia="en-US"/>
              </w:rPr>
            </w:pPr>
            <w:r w:rsidRPr="002562B1">
              <w:rPr>
                <w:szCs w:val="24"/>
              </w:rPr>
              <w:t>Gypsy/Travellers have significantly poorer health outcomes and lower life expectancy than the national average. We work closely with partners in NHS Highland and with the Council’s Care and Learning Service to improve health and education outcomes for Gypsy / Traveller households in Highland.</w:t>
            </w:r>
          </w:p>
        </w:tc>
      </w:tr>
      <w:tr w:rsidR="00C546A8" w:rsidTr="00C546A8">
        <w:trPr>
          <w:trHeight w:val="870"/>
        </w:trPr>
        <w:tc>
          <w:tcPr>
            <w:tcW w:w="2836" w:type="dxa"/>
          </w:tcPr>
          <w:p w:rsidR="00C546A8" w:rsidRDefault="00C546A8" w:rsidP="00C546A8">
            <w:pPr>
              <w:rPr>
                <w:rFonts w:cs="Arial"/>
                <w:sz w:val="23"/>
                <w:szCs w:val="23"/>
              </w:rPr>
            </w:pPr>
            <w:r>
              <w:rPr>
                <w:rFonts w:cs="Arial"/>
                <w:sz w:val="23"/>
                <w:szCs w:val="23"/>
              </w:rPr>
              <w:t>Sexual Orientation:</w:t>
            </w:r>
          </w:p>
          <w:p w:rsidR="00C546A8" w:rsidRDefault="00C546A8" w:rsidP="00C546A8">
            <w:pPr>
              <w:rPr>
                <w:rFonts w:cs="Arial"/>
                <w:sz w:val="23"/>
                <w:szCs w:val="23"/>
              </w:rPr>
            </w:pPr>
          </w:p>
        </w:tc>
        <w:tc>
          <w:tcPr>
            <w:tcW w:w="6520" w:type="dxa"/>
          </w:tcPr>
          <w:p w:rsidR="00C546A8" w:rsidRDefault="00BD6C38" w:rsidP="00BD6C38">
            <w:pPr>
              <w:autoSpaceDE w:val="0"/>
              <w:autoSpaceDN w:val="0"/>
              <w:adjustRightInd w:val="0"/>
              <w:rPr>
                <w:rFonts w:cs="Arial"/>
                <w:szCs w:val="24"/>
                <w:lang w:eastAsia="en-US"/>
              </w:rPr>
            </w:pPr>
            <w:r>
              <w:rPr>
                <w:rFonts w:cs="Arial"/>
                <w:szCs w:val="24"/>
                <w:lang w:eastAsia="en-US"/>
              </w:rPr>
              <w:t>Housing policies supporting this strategy have all had equality impact assessments carried out, as far as possible negative impact will have been addressed at that time. No specific issues identified for sexual orientation.</w:t>
            </w:r>
          </w:p>
        </w:tc>
      </w:tr>
      <w:tr w:rsidR="00C546A8" w:rsidTr="00C546A8">
        <w:trPr>
          <w:trHeight w:val="870"/>
        </w:trPr>
        <w:tc>
          <w:tcPr>
            <w:tcW w:w="2836" w:type="dxa"/>
          </w:tcPr>
          <w:p w:rsidR="00C546A8" w:rsidRDefault="00C546A8" w:rsidP="00C546A8">
            <w:pPr>
              <w:rPr>
                <w:rFonts w:cs="Arial"/>
                <w:sz w:val="23"/>
                <w:szCs w:val="23"/>
              </w:rPr>
            </w:pPr>
            <w:r>
              <w:rPr>
                <w:rFonts w:cs="Arial"/>
                <w:sz w:val="23"/>
                <w:szCs w:val="23"/>
              </w:rPr>
              <w:t>Gender reassignment:</w:t>
            </w:r>
          </w:p>
          <w:p w:rsidR="00C546A8" w:rsidRDefault="00C546A8" w:rsidP="00C546A8">
            <w:pPr>
              <w:rPr>
                <w:rFonts w:cs="Arial"/>
                <w:sz w:val="23"/>
                <w:szCs w:val="23"/>
              </w:rPr>
            </w:pPr>
          </w:p>
        </w:tc>
        <w:tc>
          <w:tcPr>
            <w:tcW w:w="6520" w:type="dxa"/>
          </w:tcPr>
          <w:p w:rsidR="00BB7B19" w:rsidRDefault="00BB7B19" w:rsidP="00BB7B19">
            <w:pPr>
              <w:autoSpaceDE w:val="0"/>
              <w:autoSpaceDN w:val="0"/>
              <w:adjustRightInd w:val="0"/>
              <w:rPr>
                <w:rFonts w:cs="Arial"/>
                <w:szCs w:val="24"/>
                <w:lang w:eastAsia="en-US"/>
              </w:rPr>
            </w:pPr>
            <w:r>
              <w:rPr>
                <w:rFonts w:cs="Arial"/>
                <w:szCs w:val="24"/>
                <w:lang w:eastAsia="en-US"/>
              </w:rPr>
              <w:t>Housing policies supporting this strategy have all had equality impact assessments carried out, as far as possible negative impact will have been addressed at that time. No specific issues are identified for gender reassignment.</w:t>
            </w:r>
          </w:p>
          <w:p w:rsidR="00C546A8" w:rsidRDefault="00C546A8" w:rsidP="00BB277D">
            <w:pPr>
              <w:autoSpaceDE w:val="0"/>
              <w:autoSpaceDN w:val="0"/>
              <w:adjustRightInd w:val="0"/>
              <w:rPr>
                <w:rFonts w:cs="Arial"/>
                <w:szCs w:val="24"/>
                <w:lang w:eastAsia="en-US"/>
              </w:rPr>
            </w:pPr>
          </w:p>
        </w:tc>
      </w:tr>
      <w:tr w:rsidR="00C546A8" w:rsidTr="00C546A8">
        <w:trPr>
          <w:trHeight w:val="870"/>
        </w:trPr>
        <w:tc>
          <w:tcPr>
            <w:tcW w:w="2836" w:type="dxa"/>
          </w:tcPr>
          <w:p w:rsidR="00C546A8" w:rsidRDefault="00C546A8" w:rsidP="00C546A8">
            <w:pPr>
              <w:rPr>
                <w:rFonts w:cs="Arial"/>
                <w:sz w:val="23"/>
                <w:szCs w:val="23"/>
              </w:rPr>
            </w:pPr>
            <w:r>
              <w:rPr>
                <w:rFonts w:cs="Arial"/>
                <w:sz w:val="23"/>
                <w:szCs w:val="23"/>
              </w:rPr>
              <w:t>Pregnancy/maternity:</w:t>
            </w:r>
          </w:p>
          <w:p w:rsidR="00C546A8" w:rsidRDefault="00C546A8" w:rsidP="00C546A8">
            <w:pPr>
              <w:rPr>
                <w:rFonts w:cs="Arial"/>
                <w:sz w:val="23"/>
                <w:szCs w:val="23"/>
              </w:rPr>
            </w:pPr>
          </w:p>
        </w:tc>
        <w:tc>
          <w:tcPr>
            <w:tcW w:w="6520" w:type="dxa"/>
          </w:tcPr>
          <w:p w:rsidR="00BB7B19" w:rsidRDefault="00BB7B19" w:rsidP="00BB7B19">
            <w:pPr>
              <w:autoSpaceDE w:val="0"/>
              <w:autoSpaceDN w:val="0"/>
              <w:adjustRightInd w:val="0"/>
              <w:rPr>
                <w:rFonts w:cs="Arial"/>
                <w:szCs w:val="24"/>
                <w:lang w:eastAsia="en-US"/>
              </w:rPr>
            </w:pPr>
            <w:r>
              <w:rPr>
                <w:rFonts w:cs="Arial"/>
                <w:szCs w:val="24"/>
                <w:lang w:eastAsia="en-US"/>
              </w:rPr>
              <w:t>Housing policies supporting this strategy have all had equality impact assessments carried out, as far as possible negative impact will have been addressed at that time. No specific issues are identified for pregnancy/maternity.</w:t>
            </w:r>
          </w:p>
          <w:p w:rsidR="00C546A8" w:rsidRDefault="00C546A8" w:rsidP="00C35A93">
            <w:pPr>
              <w:autoSpaceDE w:val="0"/>
              <w:autoSpaceDN w:val="0"/>
              <w:adjustRightInd w:val="0"/>
              <w:rPr>
                <w:rFonts w:cs="Arial"/>
                <w:szCs w:val="24"/>
                <w:lang w:eastAsia="en-US"/>
              </w:rPr>
            </w:pPr>
          </w:p>
        </w:tc>
      </w:tr>
      <w:tr w:rsidR="00C546A8" w:rsidTr="00C546A8">
        <w:trPr>
          <w:trHeight w:val="870"/>
        </w:trPr>
        <w:tc>
          <w:tcPr>
            <w:tcW w:w="2836" w:type="dxa"/>
          </w:tcPr>
          <w:p w:rsidR="00C546A8" w:rsidRDefault="00C546A8" w:rsidP="00C546A8">
            <w:pPr>
              <w:rPr>
                <w:rFonts w:cs="Arial"/>
                <w:sz w:val="23"/>
                <w:szCs w:val="23"/>
              </w:rPr>
            </w:pPr>
            <w:r>
              <w:rPr>
                <w:rFonts w:cs="Arial"/>
                <w:sz w:val="23"/>
                <w:szCs w:val="23"/>
              </w:rPr>
              <w:t>Marriage and civil partnership:</w:t>
            </w:r>
          </w:p>
          <w:p w:rsidR="00C546A8" w:rsidRDefault="00C546A8" w:rsidP="00C546A8">
            <w:pPr>
              <w:rPr>
                <w:rFonts w:cs="Arial"/>
                <w:sz w:val="23"/>
                <w:szCs w:val="23"/>
              </w:rPr>
            </w:pPr>
          </w:p>
        </w:tc>
        <w:tc>
          <w:tcPr>
            <w:tcW w:w="6520" w:type="dxa"/>
          </w:tcPr>
          <w:p w:rsidR="00BB7B19" w:rsidRDefault="00BB7B19" w:rsidP="00BB7B19">
            <w:pPr>
              <w:autoSpaceDE w:val="0"/>
              <w:autoSpaceDN w:val="0"/>
              <w:adjustRightInd w:val="0"/>
              <w:rPr>
                <w:rFonts w:cs="Arial"/>
                <w:szCs w:val="24"/>
                <w:lang w:eastAsia="en-US"/>
              </w:rPr>
            </w:pPr>
            <w:r>
              <w:rPr>
                <w:rFonts w:cs="Arial"/>
                <w:szCs w:val="24"/>
                <w:lang w:eastAsia="en-US"/>
              </w:rPr>
              <w:t>Housing policies supporting this strategy have all had equality impact assessments carried out, as far as possible negative impact will have been addressed at that time. No specific issues are identified for marriage and civil partnership.</w:t>
            </w:r>
          </w:p>
          <w:p w:rsidR="00C546A8" w:rsidRDefault="00C546A8" w:rsidP="00BB277D">
            <w:pPr>
              <w:autoSpaceDE w:val="0"/>
              <w:autoSpaceDN w:val="0"/>
              <w:adjustRightInd w:val="0"/>
              <w:rPr>
                <w:rFonts w:cs="Arial"/>
                <w:szCs w:val="24"/>
                <w:lang w:eastAsia="en-US"/>
              </w:rPr>
            </w:pPr>
          </w:p>
        </w:tc>
      </w:tr>
      <w:tr w:rsidR="00C546A8" w:rsidTr="00E35C4B">
        <w:tc>
          <w:tcPr>
            <w:tcW w:w="9356" w:type="dxa"/>
            <w:gridSpan w:val="2"/>
            <w:shd w:val="clear" w:color="auto" w:fill="FFFFFF" w:themeFill="background1"/>
          </w:tcPr>
          <w:p w:rsidR="00C546A8" w:rsidRPr="00C546A8" w:rsidRDefault="00C546A8" w:rsidP="003F07DA">
            <w:pPr>
              <w:rPr>
                <w:rFonts w:cs="Arial"/>
                <w:b/>
                <w:sz w:val="23"/>
                <w:szCs w:val="23"/>
              </w:rPr>
            </w:pPr>
            <w:r w:rsidRPr="00C546A8">
              <w:rPr>
                <w:b/>
                <w:lang w:val="en"/>
              </w:rPr>
              <w:t>Justification</w:t>
            </w:r>
          </w:p>
        </w:tc>
      </w:tr>
      <w:tr w:rsidR="003F07DA" w:rsidTr="00C546A8">
        <w:tc>
          <w:tcPr>
            <w:tcW w:w="2836" w:type="dxa"/>
            <w:shd w:val="clear" w:color="auto" w:fill="FFFFFF" w:themeFill="background1"/>
          </w:tcPr>
          <w:p w:rsidR="003F07DA" w:rsidRPr="00110F09" w:rsidRDefault="00C546A8" w:rsidP="00185361">
            <w:pPr>
              <w:pStyle w:val="NoSpacing"/>
              <w:spacing w:after="120"/>
              <w:rPr>
                <w:lang w:val="en"/>
              </w:rPr>
            </w:pPr>
            <w:r>
              <w:rPr>
                <w:lang w:val="en"/>
              </w:rPr>
              <w:t>I</w:t>
            </w:r>
            <w:r w:rsidR="003F07DA" w:rsidRPr="00110F09">
              <w:rPr>
                <w:lang w:val="en"/>
              </w:rPr>
              <w:t xml:space="preserve">f negative impact is identified, can this be </w:t>
            </w:r>
            <w:r w:rsidR="003F07DA" w:rsidRPr="00110F09">
              <w:rPr>
                <w:lang w:val="en"/>
              </w:rPr>
              <w:lastRenderedPageBreak/>
              <w:t>justified?</w:t>
            </w:r>
          </w:p>
          <w:p w:rsidR="003F07DA" w:rsidRPr="00110F09" w:rsidRDefault="003F07DA" w:rsidP="00185361">
            <w:pPr>
              <w:pStyle w:val="NoSpacing"/>
              <w:spacing w:after="120"/>
              <w:rPr>
                <w:lang w:val="en"/>
              </w:rPr>
            </w:pPr>
          </w:p>
        </w:tc>
        <w:tc>
          <w:tcPr>
            <w:tcW w:w="6520" w:type="dxa"/>
          </w:tcPr>
          <w:p w:rsidR="003F07DA" w:rsidRDefault="00BB277D" w:rsidP="003F07DA">
            <w:pPr>
              <w:rPr>
                <w:rFonts w:cs="Arial"/>
                <w:sz w:val="23"/>
                <w:szCs w:val="23"/>
              </w:rPr>
            </w:pPr>
            <w:r>
              <w:rPr>
                <w:rFonts w:cs="Arial"/>
                <w:sz w:val="23"/>
                <w:szCs w:val="23"/>
              </w:rPr>
              <w:lastRenderedPageBreak/>
              <w:t>No negative impacts have been identified</w:t>
            </w:r>
          </w:p>
          <w:p w:rsidR="00110F09" w:rsidRDefault="00110F09" w:rsidP="003F07DA">
            <w:pPr>
              <w:rPr>
                <w:rFonts w:cs="Arial"/>
                <w:sz w:val="23"/>
                <w:szCs w:val="23"/>
              </w:rPr>
            </w:pPr>
          </w:p>
          <w:p w:rsidR="00110F09" w:rsidRDefault="00110F09" w:rsidP="003F07DA">
            <w:pPr>
              <w:rPr>
                <w:rFonts w:cs="Arial"/>
                <w:sz w:val="23"/>
                <w:szCs w:val="23"/>
              </w:rPr>
            </w:pPr>
          </w:p>
          <w:p w:rsidR="00BB7B19" w:rsidRDefault="00BB7B19" w:rsidP="003F07DA">
            <w:pPr>
              <w:rPr>
                <w:rFonts w:cs="Arial"/>
                <w:sz w:val="23"/>
                <w:szCs w:val="23"/>
              </w:rPr>
            </w:pPr>
          </w:p>
          <w:p w:rsidR="00110F09" w:rsidRDefault="00110F09" w:rsidP="003F07DA">
            <w:pPr>
              <w:rPr>
                <w:rFonts w:cs="Arial"/>
                <w:sz w:val="23"/>
                <w:szCs w:val="23"/>
              </w:rPr>
            </w:pPr>
          </w:p>
        </w:tc>
      </w:tr>
      <w:tr w:rsidR="00C546A8" w:rsidTr="0006098E">
        <w:tc>
          <w:tcPr>
            <w:tcW w:w="9356" w:type="dxa"/>
            <w:gridSpan w:val="2"/>
            <w:shd w:val="clear" w:color="auto" w:fill="FFFFFF" w:themeFill="background1"/>
          </w:tcPr>
          <w:p w:rsidR="00C546A8" w:rsidRDefault="00C546A8"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highlight w:val="yellow"/>
              </w:rPr>
            </w:pPr>
            <w:r w:rsidRPr="00C546A8">
              <w:rPr>
                <w:b/>
                <w:lang w:val="en"/>
              </w:rPr>
              <w:lastRenderedPageBreak/>
              <w:t>Mitigation</w:t>
            </w:r>
          </w:p>
        </w:tc>
      </w:tr>
      <w:tr w:rsidR="00C81D44" w:rsidTr="00C546A8">
        <w:tc>
          <w:tcPr>
            <w:tcW w:w="2836" w:type="dxa"/>
            <w:shd w:val="clear" w:color="auto" w:fill="FFFFFF" w:themeFill="background1"/>
          </w:tcPr>
          <w:p w:rsidR="00C81D44" w:rsidRPr="00110F09" w:rsidRDefault="00C546A8" w:rsidP="00185361">
            <w:pPr>
              <w:pStyle w:val="NoSpacing"/>
              <w:spacing w:after="120"/>
              <w:rPr>
                <w:lang w:val="en"/>
              </w:rPr>
            </w:pPr>
            <w:r>
              <w:rPr>
                <w:lang w:val="en"/>
              </w:rPr>
              <w:t>Can</w:t>
            </w:r>
            <w:r w:rsidR="00C81D44" w:rsidRPr="00110F09">
              <w:rPr>
                <w:lang w:val="en"/>
              </w:rPr>
              <w:t xml:space="preserve"> the potential for negative impact </w:t>
            </w:r>
            <w:r w:rsidR="00216E63" w:rsidRPr="00110F09">
              <w:rPr>
                <w:lang w:val="en"/>
              </w:rPr>
              <w:t xml:space="preserve">on particular groups </w:t>
            </w:r>
            <w:r w:rsidR="00C81D44" w:rsidRPr="00110F09">
              <w:rPr>
                <w:lang w:val="en"/>
              </w:rPr>
              <w:t xml:space="preserve">be removed or </w:t>
            </w:r>
            <w:proofErr w:type="spellStart"/>
            <w:r w:rsidR="00C81D44" w:rsidRPr="00110F09">
              <w:rPr>
                <w:lang w:val="en"/>
              </w:rPr>
              <w:t>minimised</w:t>
            </w:r>
            <w:proofErr w:type="spellEnd"/>
            <w:r w:rsidR="00C81D44" w:rsidRPr="00110F09">
              <w:rPr>
                <w:lang w:val="en"/>
              </w:rPr>
              <w:t>?</w:t>
            </w:r>
          </w:p>
          <w:p w:rsidR="00110F09" w:rsidRPr="00110F09" w:rsidRDefault="00110F09" w:rsidP="00185361">
            <w:pPr>
              <w:pStyle w:val="NoSpacing"/>
              <w:spacing w:after="120"/>
              <w:rPr>
                <w:lang w:val="en"/>
              </w:rPr>
            </w:pPr>
          </w:p>
          <w:p w:rsidR="00110F09" w:rsidRPr="00110F09" w:rsidRDefault="00110F09" w:rsidP="00185361">
            <w:pPr>
              <w:pStyle w:val="NoSpacing"/>
              <w:spacing w:after="120"/>
              <w:rPr>
                <w:highlight w:val="yellow"/>
                <w:lang w:val="en"/>
              </w:rPr>
            </w:pPr>
          </w:p>
        </w:tc>
        <w:tc>
          <w:tcPr>
            <w:tcW w:w="6520" w:type="dxa"/>
          </w:tcPr>
          <w:p w:rsidR="00C81D44" w:rsidRPr="00BB277D" w:rsidRDefault="00BB277D"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rPr>
            </w:pPr>
            <w:r w:rsidRPr="00BB277D">
              <w:rPr>
                <w:rFonts w:cs="Arial"/>
              </w:rPr>
              <w:t>The Local Housing Strategy aims to identify and ensure actions are taken to address potential negative impacts as set out above.</w:t>
            </w:r>
          </w:p>
          <w:p w:rsidR="00BB277D" w:rsidRPr="00BB277D" w:rsidRDefault="00BB277D"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rPr>
            </w:pPr>
          </w:p>
          <w:p w:rsidR="00110F09" w:rsidRDefault="00110F09"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highlight w:val="yellow"/>
              </w:rPr>
            </w:pPr>
          </w:p>
          <w:p w:rsidR="00110F09" w:rsidRDefault="00110F09"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highlight w:val="yellow"/>
              </w:rPr>
            </w:pPr>
          </w:p>
          <w:p w:rsidR="00110F09" w:rsidRDefault="00110F09"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highlight w:val="yellow"/>
              </w:rPr>
            </w:pPr>
          </w:p>
          <w:p w:rsidR="00110F09" w:rsidRDefault="00110F09"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highlight w:val="yellow"/>
              </w:rPr>
            </w:pPr>
          </w:p>
          <w:p w:rsidR="00110F09" w:rsidRDefault="00110F09"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highlight w:val="yellow"/>
              </w:rPr>
            </w:pPr>
          </w:p>
          <w:p w:rsidR="00110F09" w:rsidRDefault="00110F09"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highlight w:val="yellow"/>
              </w:rPr>
            </w:pPr>
          </w:p>
          <w:p w:rsidR="00110F09" w:rsidRPr="00360D10" w:rsidRDefault="00110F09"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highlight w:val="yellow"/>
              </w:rPr>
            </w:pPr>
          </w:p>
        </w:tc>
      </w:tr>
      <w:tr w:rsidR="00C546A8" w:rsidTr="001134D5">
        <w:tc>
          <w:tcPr>
            <w:tcW w:w="9356" w:type="dxa"/>
            <w:gridSpan w:val="2"/>
            <w:shd w:val="clear" w:color="auto" w:fill="FFFFFF" w:themeFill="background1"/>
          </w:tcPr>
          <w:p w:rsidR="00C546A8" w:rsidRPr="00C546A8" w:rsidRDefault="00C546A8"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b/>
                <w:highlight w:val="yellow"/>
              </w:rPr>
            </w:pPr>
            <w:r w:rsidRPr="00C546A8">
              <w:rPr>
                <w:rFonts w:cs="Arial"/>
                <w:b/>
              </w:rPr>
              <w:t>Actions</w:t>
            </w:r>
          </w:p>
        </w:tc>
      </w:tr>
      <w:tr w:rsidR="00522380" w:rsidTr="004641EE">
        <w:trPr>
          <w:trHeight w:val="1293"/>
        </w:trPr>
        <w:tc>
          <w:tcPr>
            <w:tcW w:w="9356" w:type="dxa"/>
            <w:gridSpan w:val="2"/>
            <w:shd w:val="clear" w:color="auto" w:fill="FFFFFF" w:themeFill="background1"/>
          </w:tcPr>
          <w:p w:rsidR="00522380" w:rsidRPr="00360D10" w:rsidRDefault="00522380" w:rsidP="004641EE">
            <w:pPr>
              <w:pStyle w:val="NoSpacing"/>
              <w:spacing w:after="120"/>
              <w:rPr>
                <w:rFonts w:cs="Arial"/>
                <w:highlight w:val="yellow"/>
              </w:rPr>
            </w:pPr>
            <w:r w:rsidRPr="00110F09">
              <w:rPr>
                <w:lang w:val="en"/>
              </w:rPr>
              <w:t>Are there actions identified to advance or promote equality</w:t>
            </w:r>
            <w:r w:rsidR="004641EE">
              <w:rPr>
                <w:lang w:val="en"/>
              </w:rPr>
              <w:t>, or to mitigate potentially negative impact</w:t>
            </w:r>
            <w:r w:rsidRPr="00110F09">
              <w:rPr>
                <w:lang w:val="en"/>
              </w:rPr>
              <w:t>? Please detail or attach an action plan.</w:t>
            </w:r>
          </w:p>
        </w:tc>
      </w:tr>
      <w:tr w:rsidR="00522380" w:rsidTr="00A87AF8">
        <w:tc>
          <w:tcPr>
            <w:tcW w:w="9356" w:type="dxa"/>
            <w:gridSpan w:val="2"/>
            <w:shd w:val="clear" w:color="auto" w:fill="FFFFFF" w:themeFill="background1"/>
          </w:tcPr>
          <w:p w:rsidR="00522380" w:rsidRDefault="00522380"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highlight w:val="yellow"/>
              </w:rPr>
            </w:pPr>
          </w:p>
          <w:p w:rsidR="005D22C3" w:rsidRPr="00F01FDA" w:rsidRDefault="005D22C3"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u w:val="single"/>
              </w:rPr>
            </w:pPr>
            <w:r w:rsidRPr="00F01FDA">
              <w:rPr>
                <w:rFonts w:cs="Arial"/>
                <w:u w:val="single"/>
              </w:rPr>
              <w:t>Gender</w:t>
            </w:r>
          </w:p>
          <w:p w:rsidR="00F01FDA" w:rsidRPr="00F01FDA" w:rsidRDefault="00F01FDA"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rPr>
            </w:pPr>
          </w:p>
          <w:p w:rsidR="005D22C3" w:rsidRPr="00BB7B19" w:rsidRDefault="00F01FDA" w:rsidP="00BB7B19">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F01FDA">
              <w:rPr>
                <w:rFonts w:cs="Arial"/>
              </w:rPr>
              <w:t>Continue to contribute to effective multiagency work to tack</w:t>
            </w:r>
            <w:r>
              <w:rPr>
                <w:rFonts w:cs="Arial"/>
              </w:rPr>
              <w:t>le</w:t>
            </w:r>
            <w:r w:rsidRPr="00F01FDA">
              <w:rPr>
                <w:rFonts w:cs="Arial"/>
              </w:rPr>
              <w:t xml:space="preserve"> and respond to the</w:t>
            </w:r>
            <w:r>
              <w:rPr>
                <w:rFonts w:cs="Arial"/>
              </w:rPr>
              <w:t xml:space="preserve"> </w:t>
            </w:r>
            <w:r w:rsidRPr="00F01FDA">
              <w:rPr>
                <w:rFonts w:cs="Arial"/>
              </w:rPr>
              <w:t>housing needs arising in relation to domestic abuse.</w:t>
            </w:r>
          </w:p>
          <w:p w:rsidR="005D22C3" w:rsidRDefault="005D22C3"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highlight w:val="yellow"/>
              </w:rPr>
            </w:pPr>
          </w:p>
          <w:p w:rsidR="00F01FDA" w:rsidRDefault="005D22C3" w:rsidP="00F01FD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u w:val="single"/>
              </w:rPr>
            </w:pPr>
            <w:r w:rsidRPr="00F01FDA">
              <w:rPr>
                <w:rFonts w:cs="Arial"/>
                <w:u w:val="single"/>
              </w:rPr>
              <w:t xml:space="preserve">Older People </w:t>
            </w:r>
          </w:p>
          <w:p w:rsidR="00F01FDA" w:rsidRDefault="00F01FDA" w:rsidP="00F01FD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u w:val="single"/>
              </w:rPr>
            </w:pPr>
          </w:p>
          <w:p w:rsidR="00F01FDA" w:rsidRDefault="005D22C3" w:rsidP="00F01FDA">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proofErr w:type="spellStart"/>
            <w:r w:rsidRPr="005D22C3">
              <w:rPr>
                <w:rFonts w:cs="Arial"/>
              </w:rPr>
              <w:t>Prioritise</w:t>
            </w:r>
            <w:proofErr w:type="spellEnd"/>
            <w:r w:rsidRPr="005D22C3">
              <w:rPr>
                <w:rFonts w:cs="Arial"/>
              </w:rPr>
              <w:t xml:space="preserve"> services which encourage and enable people to plan and make well informed choices about their future housing needs.</w:t>
            </w:r>
          </w:p>
          <w:p w:rsidR="00F01FDA" w:rsidRDefault="00F01FDA" w:rsidP="00F01FD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rPr>
            </w:pPr>
          </w:p>
          <w:p w:rsidR="00F01FDA" w:rsidRDefault="005D22C3" w:rsidP="00F01FDA">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5D22C3">
              <w:rPr>
                <w:rFonts w:cs="Arial"/>
              </w:rPr>
              <w:t>Increase the use of technology enabled care and flexible housing design innovations in support of preventative and anticipatory approaches to   housing provision.</w:t>
            </w:r>
          </w:p>
          <w:p w:rsidR="00F01FDA" w:rsidRDefault="00F01FDA" w:rsidP="00F01FD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
              <w:rPr>
                <w:rFonts w:cs="Arial"/>
              </w:rPr>
            </w:pPr>
          </w:p>
          <w:p w:rsidR="005D22C3" w:rsidRDefault="005D22C3" w:rsidP="00F01FDA">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5D22C3">
              <w:rPr>
                <w:rFonts w:cs="Arial"/>
              </w:rPr>
              <w:t>Collaborate with NHS Highland and other partners to develop appropriate intermediate housing options.</w:t>
            </w:r>
          </w:p>
          <w:p w:rsidR="00F01FDA" w:rsidRPr="00F01FDA" w:rsidRDefault="00F01FDA" w:rsidP="00F01FD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u w:val="single"/>
              </w:rPr>
            </w:pPr>
          </w:p>
          <w:p w:rsidR="00F01FDA" w:rsidRDefault="005D22C3" w:rsidP="00F01FDA">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5D22C3">
              <w:rPr>
                <w:rFonts w:cs="Arial"/>
              </w:rPr>
              <w:t xml:space="preserve">Continue to </w:t>
            </w:r>
            <w:proofErr w:type="spellStart"/>
            <w:r w:rsidRPr="005D22C3">
              <w:rPr>
                <w:rFonts w:cs="Arial"/>
              </w:rPr>
              <w:t>prioritise</w:t>
            </w:r>
            <w:proofErr w:type="spellEnd"/>
            <w:r w:rsidRPr="005D22C3">
              <w:rPr>
                <w:rFonts w:cs="Arial"/>
              </w:rPr>
              <w:t xml:space="preserve"> home based support services provided by joint Handyperson and Care and Repair providers delivering adaptations, equipment, telecare and small repairs services across tenures</w:t>
            </w:r>
            <w:r w:rsidR="00F01FDA">
              <w:rPr>
                <w:rFonts w:cs="Arial"/>
              </w:rPr>
              <w:t>.</w:t>
            </w:r>
          </w:p>
          <w:p w:rsidR="00F01FDA" w:rsidRDefault="00F01FDA" w:rsidP="00F01FD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
              <w:rPr>
                <w:rFonts w:cs="Arial"/>
              </w:rPr>
            </w:pPr>
          </w:p>
          <w:p w:rsidR="005D22C3" w:rsidRDefault="00F01FDA" w:rsidP="00F01FDA">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5D22C3">
              <w:rPr>
                <w:rFonts w:cs="Arial"/>
              </w:rPr>
              <w:t>Continue to work in partnership with other agencies to develop solutions on how to address fuel poverty in remote and rural areas.</w:t>
            </w:r>
          </w:p>
          <w:p w:rsidR="005D22C3" w:rsidRDefault="005D22C3"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highlight w:val="yellow"/>
              </w:rPr>
            </w:pPr>
          </w:p>
          <w:p w:rsidR="00F01FDA" w:rsidRPr="00F01FDA" w:rsidRDefault="005D22C3" w:rsidP="00F01FD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u w:val="single"/>
              </w:rPr>
            </w:pPr>
            <w:r w:rsidRPr="00F01FDA">
              <w:rPr>
                <w:rFonts w:cs="Arial"/>
                <w:u w:val="single"/>
              </w:rPr>
              <w:t>Younger People</w:t>
            </w:r>
          </w:p>
          <w:p w:rsidR="00F01FDA" w:rsidRDefault="00F01FDA" w:rsidP="00F01FD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rPr>
            </w:pPr>
          </w:p>
          <w:p w:rsidR="00F01FDA" w:rsidRDefault="005D22C3" w:rsidP="00F01FDA">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proofErr w:type="spellStart"/>
            <w:r w:rsidRPr="005D22C3">
              <w:rPr>
                <w:rFonts w:cs="Arial"/>
              </w:rPr>
              <w:t>Prioritise</w:t>
            </w:r>
            <w:proofErr w:type="spellEnd"/>
            <w:r w:rsidRPr="005D22C3">
              <w:rPr>
                <w:rFonts w:cs="Arial"/>
              </w:rPr>
              <w:t xml:space="preserve"> services which encourage and enable people to plan and make well informed choices about their future housing needs. </w:t>
            </w:r>
          </w:p>
          <w:p w:rsidR="00F01FDA" w:rsidRDefault="00F01FDA" w:rsidP="00F01FD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rPr>
            </w:pPr>
          </w:p>
          <w:p w:rsidR="00F01FDA" w:rsidRDefault="005D22C3" w:rsidP="00F01FDA">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pPr>
            <w:r w:rsidRPr="005D22C3">
              <w:rPr>
                <w:rFonts w:cs="Arial"/>
              </w:rPr>
              <w:t>Work closely with the Highland Joint Transitions Team to identify and plan for the future accessible housing needs of young adults in Highland to enable them to live independent lives with access to the same opportunities as other young people.</w:t>
            </w:r>
            <w:r>
              <w:t xml:space="preserve"> </w:t>
            </w:r>
          </w:p>
          <w:p w:rsidR="00F01FDA" w:rsidRDefault="00F01FDA" w:rsidP="00F01FD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pPr>
          </w:p>
          <w:p w:rsidR="005D22C3" w:rsidRPr="00F01FDA" w:rsidRDefault="005D22C3" w:rsidP="00F01FDA">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pPr>
            <w:r w:rsidRPr="005D22C3">
              <w:rPr>
                <w:rFonts w:cs="Arial"/>
              </w:rPr>
              <w:t>Provide support to enable people to develop and maintain their capacity to live independently.</w:t>
            </w:r>
          </w:p>
          <w:p w:rsidR="00F01FDA" w:rsidRDefault="00F01FDA" w:rsidP="00F01FDA">
            <w:pPr>
              <w:pStyle w:val="ListParagraph"/>
            </w:pPr>
          </w:p>
          <w:p w:rsidR="005D22C3" w:rsidRPr="00F01FDA" w:rsidRDefault="005D22C3" w:rsidP="00F01FDA">
            <w:pPr>
              <w:pStyle w:val="ListParagraph"/>
              <w:numPr>
                <w:ilvl w:val="0"/>
                <w:numId w:val="26"/>
              </w:numPr>
              <w:rPr>
                <w:rFonts w:cs="Arial"/>
              </w:rPr>
            </w:pPr>
            <w:r w:rsidRPr="00F01FDA">
              <w:rPr>
                <w:rFonts w:cs="Arial"/>
              </w:rPr>
              <w:t>Ensure that housing support services focus on achieving positive outcomes and sustainable solutions for clients.</w:t>
            </w:r>
          </w:p>
          <w:p w:rsidR="00F01FDA" w:rsidRDefault="00F01FDA" w:rsidP="005D22C3">
            <w:pPr>
              <w:rPr>
                <w:rFonts w:cs="Arial"/>
                <w:highlight w:val="yellow"/>
              </w:rPr>
            </w:pPr>
          </w:p>
          <w:p w:rsidR="005D22C3" w:rsidRPr="00F01FDA" w:rsidRDefault="005D22C3" w:rsidP="00F01FDA">
            <w:pPr>
              <w:pStyle w:val="ListParagraph"/>
              <w:numPr>
                <w:ilvl w:val="0"/>
                <w:numId w:val="26"/>
              </w:numPr>
              <w:rPr>
                <w:rFonts w:cs="Arial"/>
              </w:rPr>
            </w:pPr>
            <w:r w:rsidRPr="00F01FDA">
              <w:rPr>
                <w:rFonts w:cs="Arial"/>
              </w:rPr>
              <w:t>Continue to implement a protocol on accommodation for looked after children to prevent homelessness.</w:t>
            </w:r>
          </w:p>
          <w:p w:rsidR="00F01FDA" w:rsidRPr="005D22C3" w:rsidRDefault="00F01FDA" w:rsidP="005D22C3">
            <w:pPr>
              <w:rPr>
                <w:rFonts w:cs="Arial"/>
                <w:highlight w:val="yellow"/>
              </w:rPr>
            </w:pPr>
          </w:p>
          <w:p w:rsidR="005D22C3" w:rsidRDefault="005D22C3"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u w:val="single"/>
              </w:rPr>
            </w:pPr>
            <w:r w:rsidRPr="00F01FDA">
              <w:rPr>
                <w:rFonts w:cs="Arial"/>
                <w:u w:val="single"/>
              </w:rPr>
              <w:t>Disability</w:t>
            </w:r>
          </w:p>
          <w:p w:rsidR="00F01FDA" w:rsidRPr="00F01FDA" w:rsidRDefault="00F01FDA"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u w:val="single"/>
              </w:rPr>
            </w:pPr>
          </w:p>
          <w:p w:rsidR="005D22C3" w:rsidRDefault="005D22C3" w:rsidP="00F01FD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5D22C3">
              <w:rPr>
                <w:rFonts w:cs="Arial"/>
              </w:rPr>
              <w:t>Increase the supply, and test innovative approaches to specialist housing: for example the FIT homes pilot.</w:t>
            </w:r>
          </w:p>
          <w:p w:rsidR="005D22C3" w:rsidRDefault="005D22C3"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rPr>
            </w:pPr>
          </w:p>
          <w:p w:rsidR="005D22C3" w:rsidRDefault="005D22C3" w:rsidP="00F01FD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5D22C3">
              <w:rPr>
                <w:rFonts w:cs="Arial"/>
              </w:rPr>
              <w:t xml:space="preserve">Redesign and improve housing adaptations services to a tenure neutral, integrated, person </w:t>
            </w:r>
            <w:proofErr w:type="spellStart"/>
            <w:r w:rsidRPr="005D22C3">
              <w:rPr>
                <w:rFonts w:cs="Arial"/>
              </w:rPr>
              <w:t>centred</w:t>
            </w:r>
            <w:proofErr w:type="spellEnd"/>
            <w:r w:rsidRPr="005D22C3">
              <w:rPr>
                <w:rFonts w:cs="Arial"/>
              </w:rPr>
              <w:t xml:space="preserve"> model.</w:t>
            </w:r>
          </w:p>
          <w:p w:rsidR="00F01FDA" w:rsidRDefault="00F01FDA"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rPr>
            </w:pPr>
          </w:p>
          <w:p w:rsidR="005D22C3" w:rsidRDefault="005D22C3" w:rsidP="00F01FD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5D22C3">
              <w:rPr>
                <w:rFonts w:cs="Arial"/>
              </w:rPr>
              <w:t>Collaborate with NHS Highland and other partners to develop appropriate intermediate housing options.</w:t>
            </w:r>
          </w:p>
          <w:p w:rsidR="00F01FDA" w:rsidRDefault="00F01FDA"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rPr>
            </w:pPr>
          </w:p>
          <w:p w:rsidR="005D22C3" w:rsidRDefault="005D22C3" w:rsidP="00F01FD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5D22C3">
              <w:rPr>
                <w:rFonts w:cs="Arial"/>
              </w:rPr>
              <w:t xml:space="preserve">Continue to </w:t>
            </w:r>
            <w:proofErr w:type="spellStart"/>
            <w:r w:rsidRPr="005D22C3">
              <w:rPr>
                <w:rFonts w:cs="Arial"/>
              </w:rPr>
              <w:t>prioritise</w:t>
            </w:r>
            <w:proofErr w:type="spellEnd"/>
            <w:r w:rsidRPr="005D22C3">
              <w:rPr>
                <w:rFonts w:cs="Arial"/>
              </w:rPr>
              <w:t xml:space="preserve"> home based support services provided by joint Handyperson and Care and Repair providers delivering adaptations, equipment, telecare and small repairs services across tenures, as a result of shifting the balance of care.</w:t>
            </w:r>
          </w:p>
          <w:p w:rsidR="00F01FDA" w:rsidRDefault="00F01FDA"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highlight w:val="yellow"/>
              </w:rPr>
            </w:pPr>
          </w:p>
          <w:p w:rsidR="005D22C3" w:rsidRPr="00F01FDA" w:rsidRDefault="005D22C3" w:rsidP="005D22C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u w:val="single"/>
              </w:rPr>
            </w:pPr>
            <w:r w:rsidRPr="00F01FDA">
              <w:rPr>
                <w:rFonts w:cs="Arial"/>
                <w:u w:val="single"/>
              </w:rPr>
              <w:t>Race</w:t>
            </w:r>
          </w:p>
          <w:p w:rsidR="005D22C3" w:rsidRPr="005D22C3" w:rsidRDefault="005D22C3" w:rsidP="005D22C3">
            <w:pPr>
              <w:pStyle w:val="ListParagraph"/>
              <w:rPr>
                <w:rFonts w:cs="Arial"/>
              </w:rPr>
            </w:pPr>
          </w:p>
          <w:p w:rsidR="005D22C3" w:rsidRDefault="005D22C3" w:rsidP="00F01FDA">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5D22C3">
              <w:rPr>
                <w:rFonts w:cs="Arial"/>
              </w:rPr>
              <w:t xml:space="preserve">Consider further Gypsy / </w:t>
            </w:r>
            <w:proofErr w:type="spellStart"/>
            <w:r w:rsidRPr="005D22C3">
              <w:rPr>
                <w:rFonts w:cs="Arial"/>
              </w:rPr>
              <w:t>Traveller</w:t>
            </w:r>
            <w:proofErr w:type="spellEnd"/>
            <w:r w:rsidRPr="005D22C3">
              <w:rPr>
                <w:rFonts w:cs="Arial"/>
              </w:rPr>
              <w:t xml:space="preserve"> Site provision where</w:t>
            </w:r>
            <w:r w:rsidR="00F01FDA">
              <w:rPr>
                <w:rFonts w:cs="Arial"/>
              </w:rPr>
              <w:t xml:space="preserve"> needs are identified.</w:t>
            </w:r>
          </w:p>
          <w:p w:rsidR="005D22C3" w:rsidRDefault="005D22C3" w:rsidP="005D22C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rPr>
            </w:pPr>
          </w:p>
          <w:p w:rsidR="00522380" w:rsidRDefault="00522380"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highlight w:val="yellow"/>
              </w:rPr>
            </w:pPr>
          </w:p>
          <w:p w:rsidR="00522380" w:rsidRDefault="00522380"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highlight w:val="yellow"/>
              </w:rPr>
            </w:pPr>
          </w:p>
        </w:tc>
      </w:tr>
    </w:tbl>
    <w:p w:rsidR="00185361" w:rsidRDefault="00185361" w:rsidP="00185361">
      <w:pPr>
        <w:pStyle w:val="NoSpacing"/>
        <w:spacing w:after="120"/>
        <w:ind w:left="714"/>
        <w:rPr>
          <w:i/>
          <w:lang w:val="en"/>
        </w:rPr>
      </w:pPr>
    </w:p>
    <w:p w:rsidR="00AB3C6B" w:rsidRDefault="00AB3C6B" w:rsidP="00216E63">
      <w:pPr>
        <w:pStyle w:val="NoSpacing"/>
        <w:spacing w:after="120"/>
        <w:rPr>
          <w:lang w:val="en"/>
        </w:rPr>
      </w:pPr>
      <w:r w:rsidRPr="004F5041">
        <w:rPr>
          <w:lang w:val="en"/>
        </w:rPr>
        <w:t xml:space="preserve">Please provide details of arrangements to monitor and review the policy and any mitigating actions </w:t>
      </w:r>
      <w:r w:rsidR="00622D08">
        <w:rPr>
          <w:lang w:val="en"/>
        </w:rPr>
        <w:t>or actions to promote equality.</w:t>
      </w:r>
    </w:p>
    <w:p w:rsidR="003F07DA" w:rsidRDefault="003F07DA" w:rsidP="00216E63">
      <w:pPr>
        <w:pStyle w:val="NoSpacing"/>
        <w:spacing w:after="120"/>
        <w:rPr>
          <w:color w:val="333333"/>
          <w:lang w:val="en"/>
        </w:rPr>
      </w:pPr>
    </w:p>
    <w:p w:rsidR="00B80074" w:rsidRDefault="00F01FDA" w:rsidP="00216E63">
      <w:pPr>
        <w:pStyle w:val="NoSpacing"/>
        <w:spacing w:after="120"/>
        <w:rPr>
          <w:b/>
          <w:color w:val="333333"/>
          <w:lang w:val="en"/>
        </w:rPr>
      </w:pPr>
      <w:r w:rsidRPr="00F01FDA">
        <w:rPr>
          <w:b/>
          <w:color w:val="333333"/>
          <w:lang w:val="en"/>
        </w:rPr>
        <w:t>The strategy will be reviewed annually</w:t>
      </w:r>
      <w:r w:rsidR="00B80074">
        <w:rPr>
          <w:b/>
          <w:color w:val="333333"/>
          <w:lang w:val="en"/>
        </w:rPr>
        <w:t xml:space="preserve">.  </w:t>
      </w:r>
    </w:p>
    <w:p w:rsidR="00F01FDA" w:rsidRPr="00F01FDA" w:rsidRDefault="00B80074" w:rsidP="00216E63">
      <w:pPr>
        <w:pStyle w:val="NoSpacing"/>
        <w:spacing w:after="120"/>
        <w:rPr>
          <w:b/>
          <w:color w:val="333333"/>
          <w:lang w:val="en"/>
        </w:rPr>
      </w:pPr>
      <w:r>
        <w:rPr>
          <w:b/>
          <w:color w:val="333333"/>
          <w:lang w:val="en"/>
        </w:rPr>
        <w:t>Supporting policies will be reviewed regularly and assessed for equality impact.</w:t>
      </w:r>
    </w:p>
    <w:p w:rsidR="00C546A8" w:rsidRDefault="00C546A8" w:rsidP="00216E63">
      <w:pPr>
        <w:pStyle w:val="NoSpacing"/>
        <w:spacing w:after="120"/>
        <w:rPr>
          <w:lang w:val="en"/>
        </w:rPr>
      </w:pPr>
    </w:p>
    <w:p w:rsidR="00F01FDA" w:rsidRDefault="00AB3C6B" w:rsidP="00216E63">
      <w:pPr>
        <w:pStyle w:val="NoSpacing"/>
        <w:spacing w:after="120"/>
        <w:rPr>
          <w:lang w:val="en"/>
        </w:rPr>
      </w:pPr>
      <w:r w:rsidRPr="004F5041">
        <w:rPr>
          <w:lang w:val="en"/>
        </w:rPr>
        <w:t>Please state w</w:t>
      </w:r>
      <w:r w:rsidR="003F07DA">
        <w:rPr>
          <w:lang w:val="en"/>
        </w:rPr>
        <w:t xml:space="preserve">here the EQIA will be published: </w:t>
      </w:r>
    </w:p>
    <w:p w:rsidR="00F01FDA" w:rsidRDefault="00F01FDA" w:rsidP="00216E63">
      <w:pPr>
        <w:pStyle w:val="NoSpacing"/>
        <w:spacing w:after="120"/>
        <w:rPr>
          <w:lang w:val="en"/>
        </w:rPr>
      </w:pPr>
    </w:p>
    <w:p w:rsidR="00AB3C6B" w:rsidRPr="00F25AA9" w:rsidRDefault="003F07DA" w:rsidP="00216E63">
      <w:pPr>
        <w:pStyle w:val="NoSpacing"/>
        <w:spacing w:after="120"/>
        <w:rPr>
          <w:b/>
          <w:lang w:val="en"/>
        </w:rPr>
      </w:pPr>
      <w:r w:rsidRPr="00F25AA9">
        <w:rPr>
          <w:b/>
          <w:lang w:val="en"/>
        </w:rPr>
        <w:t>The assessment will be published on the Council website.</w:t>
      </w:r>
    </w:p>
    <w:p w:rsidR="00C546A8" w:rsidRDefault="00C546A8" w:rsidP="003F07DA">
      <w:pPr>
        <w:rPr>
          <w:b/>
        </w:rPr>
      </w:pPr>
    </w:p>
    <w:p w:rsidR="003F07DA" w:rsidRPr="00436048" w:rsidRDefault="003F07DA" w:rsidP="003F07DA">
      <w:pPr>
        <w:rPr>
          <w:b/>
        </w:rPr>
      </w:pPr>
      <w:r w:rsidRPr="00436048">
        <w:rPr>
          <w:b/>
        </w:rPr>
        <w:t xml:space="preserve">Equality Impact Assessment Sign off: </w:t>
      </w:r>
      <w:r w:rsidRPr="00436048">
        <w:rPr>
          <w:rFonts w:eastAsia="Times New Roman"/>
          <w:b/>
          <w:lang w:val="en"/>
        </w:rPr>
        <w:t>For completion by Director or Head of Service</w:t>
      </w:r>
    </w:p>
    <w:p w:rsidR="003F07DA" w:rsidRDefault="003F07DA" w:rsidP="003F07DA">
      <w:pPr>
        <w:shd w:val="clear" w:color="auto" w:fill="FFFFFF"/>
        <w:rPr>
          <w:rFonts w:eastAsia="Times New Roman" w:cs="Arial"/>
          <w:color w:val="333333"/>
          <w:lang w:val="en"/>
        </w:rPr>
      </w:pPr>
    </w:p>
    <w:p w:rsidR="003F07DA" w:rsidRPr="00A05407" w:rsidRDefault="003F07DA" w:rsidP="003F07DA">
      <w:pPr>
        <w:pStyle w:val="NoSpacing"/>
        <w:numPr>
          <w:ilvl w:val="0"/>
          <w:numId w:val="12"/>
        </w:numPr>
        <w:rPr>
          <w:lang w:val="en"/>
        </w:rPr>
      </w:pPr>
      <w:r w:rsidRPr="00A05407">
        <w:rPr>
          <w:lang w:val="en"/>
        </w:rPr>
        <w:t>Please check if you are satisfied that the foll</w:t>
      </w:r>
      <w:r>
        <w:rPr>
          <w:lang w:val="en"/>
        </w:rPr>
        <w:t xml:space="preserve">owing elements of the EQIA have </w:t>
      </w:r>
      <w:r w:rsidRPr="00A05407">
        <w:rPr>
          <w:lang w:val="en"/>
        </w:rPr>
        <w:t>been considered:</w:t>
      </w:r>
    </w:p>
    <w:p w:rsidR="003F07DA" w:rsidRDefault="003F07DA" w:rsidP="003F07DA">
      <w:pPr>
        <w:shd w:val="clear" w:color="auto" w:fill="FFFFFF"/>
        <w:spacing w:after="240"/>
        <w:rPr>
          <w:rFonts w:eastAsia="Times New Roman" w:cs="Arial"/>
          <w:color w:val="333333"/>
          <w:lang w:val="en"/>
        </w:rPr>
      </w:pPr>
      <w:r w:rsidRPr="005A1948">
        <w:rPr>
          <w:rFonts w:eastAsia="Times New Roman" w:cs="Arial"/>
          <w:color w:val="333333"/>
          <w:szCs w:val="24"/>
          <w:bdr w:val="nil"/>
          <w:lang w:val="en"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8pt;height:15.6pt" o:ole="">
            <v:imagedata r:id="rId8" o:title=""/>
          </v:shape>
          <w:control r:id="rId9" w:name="DefaultOcxName116" w:shapeid="_x0000_i1040"/>
        </w:object>
      </w:r>
      <w:r w:rsidRPr="005A1948">
        <w:rPr>
          <w:rFonts w:eastAsia="Times New Roman" w:cs="Arial"/>
          <w:color w:val="333333"/>
          <w:lang w:val="en"/>
        </w:rPr>
        <w:t>Gathering information</w:t>
      </w:r>
      <w:r w:rsidRPr="005A1948">
        <w:rPr>
          <w:rFonts w:eastAsia="Times New Roman" w:cs="Arial"/>
          <w:color w:val="333333"/>
          <w:lang w:val="en"/>
        </w:rPr>
        <w:br/>
      </w:r>
      <w:r w:rsidRPr="005A1948">
        <w:rPr>
          <w:rFonts w:eastAsia="Times New Roman" w:cs="Arial"/>
          <w:color w:val="333333"/>
          <w:szCs w:val="24"/>
          <w:bdr w:val="nil"/>
          <w:lang w:val="en" w:eastAsia="en-US"/>
        </w:rPr>
        <w:object w:dxaOrig="225" w:dyaOrig="225">
          <v:shape id="_x0000_i1043" type="#_x0000_t75" style="width:18pt;height:15.6pt" o:ole="">
            <v:imagedata r:id="rId8" o:title=""/>
          </v:shape>
          <w:control r:id="rId10" w:name="DefaultOcxName212" w:shapeid="_x0000_i1043"/>
        </w:object>
      </w:r>
      <w:r w:rsidRPr="005A1948">
        <w:rPr>
          <w:rFonts w:eastAsia="Times New Roman" w:cs="Arial"/>
          <w:color w:val="333333"/>
          <w:lang w:val="en"/>
        </w:rPr>
        <w:t>Consultation and involvement</w:t>
      </w:r>
      <w:r w:rsidRPr="005A1948">
        <w:rPr>
          <w:rFonts w:eastAsia="Times New Roman" w:cs="Arial"/>
          <w:color w:val="333333"/>
          <w:lang w:val="en"/>
        </w:rPr>
        <w:br/>
      </w:r>
      <w:r w:rsidRPr="005A1948">
        <w:rPr>
          <w:rFonts w:eastAsia="Times New Roman" w:cs="Arial"/>
          <w:color w:val="333333"/>
          <w:szCs w:val="24"/>
          <w:bdr w:val="nil"/>
          <w:lang w:val="en" w:eastAsia="en-US"/>
        </w:rPr>
        <w:object w:dxaOrig="225" w:dyaOrig="225">
          <v:shape id="_x0000_i1046" type="#_x0000_t75" style="width:18pt;height:15.6pt" o:ole="">
            <v:imagedata r:id="rId8" o:title=""/>
          </v:shape>
          <w:control r:id="rId11" w:name="DefaultOcxName38" w:shapeid="_x0000_i1046"/>
        </w:object>
      </w:r>
      <w:r w:rsidRPr="005A1948">
        <w:rPr>
          <w:rFonts w:eastAsia="Times New Roman" w:cs="Arial"/>
          <w:color w:val="333333"/>
          <w:lang w:val="en"/>
        </w:rPr>
        <w:t>Assessing impact for all protected characteristics</w:t>
      </w:r>
      <w:r w:rsidRPr="005A1948">
        <w:rPr>
          <w:rFonts w:eastAsia="Times New Roman" w:cs="Arial"/>
          <w:color w:val="333333"/>
          <w:lang w:val="en"/>
        </w:rPr>
        <w:br/>
      </w:r>
      <w:r w:rsidRPr="005A1948">
        <w:rPr>
          <w:rFonts w:eastAsia="Times New Roman" w:cs="Arial"/>
          <w:color w:val="333333"/>
          <w:szCs w:val="24"/>
          <w:bdr w:val="nil"/>
          <w:lang w:val="en" w:eastAsia="en-US"/>
        </w:rPr>
        <w:object w:dxaOrig="225" w:dyaOrig="225">
          <v:shape id="_x0000_i1049" type="#_x0000_t75" style="width:18pt;height:15.6pt" o:ole="">
            <v:imagedata r:id="rId8" o:title=""/>
          </v:shape>
          <w:control r:id="rId12" w:name="DefaultOcxName45" w:shapeid="_x0000_i1049"/>
        </w:object>
      </w:r>
      <w:r w:rsidRPr="005A1948">
        <w:rPr>
          <w:rFonts w:eastAsia="Times New Roman" w:cs="Arial"/>
          <w:color w:val="333333"/>
          <w:lang w:val="en"/>
        </w:rPr>
        <w:t>Mitigating actions identified (if required</w:t>
      </w:r>
      <w:proofErr w:type="gramStart"/>
      <w:r w:rsidRPr="005A1948">
        <w:rPr>
          <w:rFonts w:eastAsia="Times New Roman" w:cs="Arial"/>
          <w:color w:val="333333"/>
          <w:lang w:val="en"/>
        </w:rPr>
        <w:t>)</w:t>
      </w:r>
      <w:proofErr w:type="gramEnd"/>
      <w:r w:rsidRPr="005A1948">
        <w:rPr>
          <w:rFonts w:eastAsia="Times New Roman" w:cs="Arial"/>
          <w:color w:val="333333"/>
          <w:lang w:val="en"/>
        </w:rPr>
        <w:br/>
      </w:r>
      <w:r w:rsidRPr="005A1948">
        <w:rPr>
          <w:rFonts w:eastAsia="Times New Roman" w:cs="Arial"/>
          <w:color w:val="333333"/>
          <w:szCs w:val="24"/>
          <w:bdr w:val="nil"/>
          <w:lang w:val="en" w:eastAsia="en-US"/>
        </w:rPr>
        <w:object w:dxaOrig="225" w:dyaOrig="225">
          <v:shape id="_x0000_i1052" type="#_x0000_t75" style="width:18pt;height:15.6pt" o:ole="">
            <v:imagedata r:id="rId8" o:title=""/>
          </v:shape>
          <w:control r:id="rId13" w:name="DefaultOcxName54" w:shapeid="_x0000_i1052"/>
        </w:object>
      </w:r>
      <w:r w:rsidRPr="005A1948">
        <w:rPr>
          <w:rFonts w:eastAsia="Times New Roman" w:cs="Arial"/>
          <w:color w:val="333333"/>
          <w:lang w:val="en"/>
        </w:rPr>
        <w:t>Opportunity to promote equality</w:t>
      </w:r>
      <w:r w:rsidRPr="005A1948">
        <w:rPr>
          <w:rFonts w:eastAsia="Times New Roman" w:cs="Arial"/>
          <w:color w:val="333333"/>
          <w:lang w:val="en"/>
        </w:rPr>
        <w:br/>
      </w:r>
      <w:r w:rsidRPr="005A1948">
        <w:rPr>
          <w:rFonts w:eastAsia="Times New Roman" w:cs="Arial"/>
          <w:color w:val="333333"/>
          <w:szCs w:val="24"/>
          <w:bdr w:val="nil"/>
          <w:lang w:val="en" w:eastAsia="en-US"/>
        </w:rPr>
        <w:object w:dxaOrig="225" w:dyaOrig="225">
          <v:shape id="_x0000_i1055" type="#_x0000_t75" style="width:18pt;height:15.6pt" o:ole="">
            <v:imagedata r:id="rId8" o:title=""/>
          </v:shape>
          <w:control r:id="rId14" w:name="DefaultOcxName64" w:shapeid="_x0000_i1055"/>
        </w:object>
      </w:r>
      <w:r w:rsidRPr="005A1948">
        <w:rPr>
          <w:rFonts w:eastAsia="Times New Roman" w:cs="Arial"/>
          <w:color w:val="333333"/>
          <w:lang w:val="en"/>
        </w:rPr>
        <w:t>Arrangements to monitor and review</w:t>
      </w:r>
      <w:r w:rsidRPr="005A1948">
        <w:rPr>
          <w:rFonts w:eastAsia="Times New Roman" w:cs="Arial"/>
          <w:color w:val="333333"/>
          <w:lang w:val="en"/>
        </w:rPr>
        <w:br/>
      </w:r>
      <w:r w:rsidRPr="005A1948">
        <w:rPr>
          <w:rFonts w:eastAsia="Times New Roman" w:cs="Arial"/>
          <w:color w:val="333333"/>
          <w:szCs w:val="24"/>
          <w:bdr w:val="nil"/>
          <w:lang w:val="en" w:eastAsia="en-US"/>
        </w:rPr>
        <w:object w:dxaOrig="225" w:dyaOrig="225">
          <v:shape id="_x0000_i1058" type="#_x0000_t75" style="width:18pt;height:15.6pt" o:ole="">
            <v:imagedata r:id="rId8" o:title=""/>
          </v:shape>
          <w:control r:id="rId15" w:name="DefaultOcxName73" w:shapeid="_x0000_i1058"/>
        </w:object>
      </w:r>
      <w:r w:rsidRPr="005A1948">
        <w:rPr>
          <w:rFonts w:eastAsia="Times New Roman" w:cs="Arial"/>
          <w:color w:val="333333"/>
          <w:lang w:val="en"/>
        </w:rPr>
        <w:t>Publication arrangements</w:t>
      </w:r>
      <w:r>
        <w:rPr>
          <w:rFonts w:eastAsia="Times New Roman" w:cs="Arial"/>
          <w:color w:val="333333"/>
          <w:lang w:val="en"/>
        </w:rPr>
        <w:br/>
      </w:r>
    </w:p>
    <w:p w:rsidR="00440D60" w:rsidRDefault="003F07DA" w:rsidP="00440D60">
      <w:pPr>
        <w:shd w:val="clear" w:color="auto" w:fill="FFFFFF"/>
        <w:spacing w:after="240"/>
      </w:pPr>
      <w:r>
        <w:rPr>
          <w:rFonts w:eastAsia="Times New Roman" w:cs="Arial"/>
          <w:color w:val="333333"/>
          <w:lang w:val="en"/>
        </w:rPr>
        <w:t xml:space="preserve">2.  </w:t>
      </w:r>
      <w:r>
        <w:rPr>
          <w:rFonts w:eastAsia="Times New Roman" w:cs="Arial"/>
          <w:color w:val="333333"/>
          <w:lang w:val="en"/>
        </w:rPr>
        <w:tab/>
      </w:r>
      <w:proofErr w:type="gramStart"/>
      <w:r>
        <w:rPr>
          <w:rFonts w:eastAsia="Times New Roman" w:cs="Arial"/>
          <w:color w:val="333333"/>
          <w:lang w:val="en"/>
        </w:rPr>
        <w:t>a</w:t>
      </w:r>
      <w:proofErr w:type="gramEnd"/>
      <w:r>
        <w:rPr>
          <w:rFonts w:eastAsia="Times New Roman" w:cs="Arial"/>
          <w:color w:val="333333"/>
          <w:lang w:val="en"/>
        </w:rPr>
        <w:t xml:space="preserve">) </w:t>
      </w:r>
      <w:r w:rsidRPr="00A05407">
        <w:rPr>
          <w:rFonts w:eastAsia="Times New Roman" w:cs="Arial"/>
          <w:color w:val="333333"/>
          <w:lang w:val="en"/>
        </w:rPr>
        <w:t>Are you prepared to sign off the EQIA?</w:t>
      </w:r>
      <w:r>
        <w:rPr>
          <w:rFonts w:eastAsia="Times New Roman" w:cs="Arial"/>
          <w:color w:val="333333"/>
          <w:lang w:val="en"/>
        </w:rPr>
        <w:t xml:space="preserve"> </w:t>
      </w:r>
      <w:r>
        <w:rPr>
          <w:rFonts w:eastAsia="Times New Roman" w:cs="Arial"/>
          <w:color w:val="333333"/>
          <w:lang w:val="en"/>
        </w:rPr>
        <w:tab/>
      </w:r>
      <w:r>
        <w:tab/>
        <w:t xml:space="preserve">YES </w:t>
      </w:r>
      <w:r w:rsidR="00440D60">
        <w:rPr>
          <w:rFonts w:ascii="Symath" w:hAnsi="Symath" w:cs="Symath"/>
        </w:rPr>
        <w:t>e</w:t>
      </w:r>
      <w:r>
        <w:rPr>
          <w:sz w:val="40"/>
          <w:szCs w:val="40"/>
        </w:rPr>
        <w:tab/>
      </w:r>
      <w:r w:rsidRPr="00FB4D57">
        <w:t>NO</w:t>
      </w:r>
    </w:p>
    <w:p w:rsidR="003F07DA" w:rsidRDefault="003F07DA" w:rsidP="00440D60">
      <w:pPr>
        <w:shd w:val="clear" w:color="auto" w:fill="FFFFFF"/>
        <w:spacing w:after="240"/>
      </w:pPr>
      <w:r>
        <w:rPr>
          <w:rFonts w:eastAsia="Times New Roman" w:cs="Arial"/>
          <w:color w:val="333333"/>
          <w:lang w:val="en"/>
        </w:rPr>
        <w:tab/>
        <w:t xml:space="preserve">b) </w:t>
      </w:r>
      <w:r w:rsidRPr="005A1948">
        <w:rPr>
          <w:rFonts w:eastAsia="Times New Roman" w:cs="Arial"/>
          <w:color w:val="333333"/>
          <w:lang w:val="en"/>
        </w:rPr>
        <w:t>If "NO" provide details of why and next steps</w:t>
      </w:r>
    </w:p>
    <w:p w:rsidR="003F07DA" w:rsidRDefault="003F07DA" w:rsidP="003F07DA"/>
    <w:p w:rsidR="003F07DA" w:rsidRDefault="003F07DA" w:rsidP="003F07DA"/>
    <w:p w:rsidR="003F07DA" w:rsidRDefault="003F07DA" w:rsidP="003F07DA">
      <w:r>
        <w:t>Name</w:t>
      </w:r>
      <w:r w:rsidR="00440D60">
        <w:t xml:space="preserve">:  </w:t>
      </w:r>
      <w:r w:rsidR="005D5855">
        <w:t>David Goldie</w:t>
      </w:r>
      <w:r w:rsidR="00440D60">
        <w:t xml:space="preserve"> </w:t>
      </w:r>
    </w:p>
    <w:p w:rsidR="003F07DA" w:rsidRDefault="003F07DA" w:rsidP="003F07DA"/>
    <w:p w:rsidR="00440D60" w:rsidRDefault="003F07DA" w:rsidP="003F07DA">
      <w:r>
        <w:t>Position</w:t>
      </w:r>
      <w:r w:rsidR="00440D60">
        <w:t xml:space="preserve">: </w:t>
      </w:r>
      <w:r w:rsidR="005D5855">
        <w:t>Head of Housing and Building Maintenance</w:t>
      </w:r>
      <w:bookmarkStart w:id="1" w:name="_GoBack"/>
      <w:bookmarkEnd w:id="1"/>
      <w:r>
        <w:tab/>
      </w:r>
      <w:r>
        <w:tab/>
      </w:r>
      <w:r>
        <w:tab/>
      </w:r>
      <w:r>
        <w:tab/>
      </w:r>
      <w:r>
        <w:tab/>
      </w:r>
      <w:r>
        <w:tab/>
      </w:r>
      <w:r>
        <w:tab/>
      </w:r>
      <w:r w:rsidR="00440D60">
        <w:tab/>
      </w:r>
    </w:p>
    <w:p w:rsidR="003F07DA" w:rsidRPr="003B144D" w:rsidRDefault="003F07DA" w:rsidP="003F07DA">
      <w:r>
        <w:t>Date:</w:t>
      </w:r>
      <w:r w:rsidR="00440D60">
        <w:t xml:space="preserve"> 30 November 2017</w:t>
      </w:r>
    </w:p>
    <w:p w:rsidR="003F07DA" w:rsidRPr="004F5041" w:rsidRDefault="003F07DA" w:rsidP="00216E63">
      <w:pPr>
        <w:pStyle w:val="NoSpacing"/>
        <w:spacing w:after="120"/>
        <w:rPr>
          <w:color w:val="333333"/>
          <w:lang w:val="en"/>
        </w:rPr>
      </w:pPr>
    </w:p>
    <w:p w:rsidR="000468A6" w:rsidRDefault="000468A6"/>
    <w:sectPr w:rsidR="000468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ath">
    <w:panose1 w:val="000004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5DC8"/>
    <w:multiLevelType w:val="hybridMultilevel"/>
    <w:tmpl w:val="285E2ADA"/>
    <w:lvl w:ilvl="0" w:tplc="FF981D0C">
      <w:start w:val="1"/>
      <w:numFmt w:val="bullet"/>
      <w:lvlText w:val=""/>
      <w:lvlJc w:val="left"/>
      <w:pPr>
        <w:ind w:left="502" w:hanging="360"/>
      </w:pPr>
      <w:rPr>
        <w:rFonts w:ascii="Wingdings" w:hAnsi="Wingdings" w:hint="default"/>
        <w:sz w:val="44"/>
        <w:szCs w:val="44"/>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1">
    <w:nsid w:val="0CFF555A"/>
    <w:multiLevelType w:val="hybridMultilevel"/>
    <w:tmpl w:val="59FEF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772B14"/>
    <w:multiLevelType w:val="hybridMultilevel"/>
    <w:tmpl w:val="BB2A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38161F"/>
    <w:multiLevelType w:val="hybridMultilevel"/>
    <w:tmpl w:val="C598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E52B61"/>
    <w:multiLevelType w:val="hybridMultilevel"/>
    <w:tmpl w:val="EAA0A5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AD0FD5"/>
    <w:multiLevelType w:val="hybridMultilevel"/>
    <w:tmpl w:val="A33CD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0A44D7"/>
    <w:multiLevelType w:val="hybridMultilevel"/>
    <w:tmpl w:val="549E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164791"/>
    <w:multiLevelType w:val="hybridMultilevel"/>
    <w:tmpl w:val="A82C3E9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5D21CD8"/>
    <w:multiLevelType w:val="hybridMultilevel"/>
    <w:tmpl w:val="8EDE5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DA3B8C"/>
    <w:multiLevelType w:val="hybridMultilevel"/>
    <w:tmpl w:val="7204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E935E5"/>
    <w:multiLevelType w:val="hybridMultilevel"/>
    <w:tmpl w:val="B14654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447575E"/>
    <w:multiLevelType w:val="hybridMultilevel"/>
    <w:tmpl w:val="0BE0027A"/>
    <w:lvl w:ilvl="0" w:tplc="ADAA055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5341E3"/>
    <w:multiLevelType w:val="hybridMultilevel"/>
    <w:tmpl w:val="6170A1B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25913DA"/>
    <w:multiLevelType w:val="hybridMultilevel"/>
    <w:tmpl w:val="918C4BA6"/>
    <w:lvl w:ilvl="0" w:tplc="91108F9C">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F96546"/>
    <w:multiLevelType w:val="hybridMultilevel"/>
    <w:tmpl w:val="F81E2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E11EA2"/>
    <w:multiLevelType w:val="hybridMultilevel"/>
    <w:tmpl w:val="40AEBF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1073E51"/>
    <w:multiLevelType w:val="hybridMultilevel"/>
    <w:tmpl w:val="DFAEB0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6C1871"/>
    <w:multiLevelType w:val="hybridMultilevel"/>
    <w:tmpl w:val="AF76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34162D"/>
    <w:multiLevelType w:val="hybridMultilevel"/>
    <w:tmpl w:val="3A9CDB9A"/>
    <w:lvl w:ilvl="0" w:tplc="9374435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66E72D6"/>
    <w:multiLevelType w:val="hybridMultilevel"/>
    <w:tmpl w:val="4DF4F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9E5DA5"/>
    <w:multiLevelType w:val="hybridMultilevel"/>
    <w:tmpl w:val="EA5C7C54"/>
    <w:lvl w:ilvl="0" w:tplc="190C36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63E1F38"/>
    <w:multiLevelType w:val="hybridMultilevel"/>
    <w:tmpl w:val="C77448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8C026C"/>
    <w:multiLevelType w:val="hybridMultilevel"/>
    <w:tmpl w:val="A33CD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F880D5B"/>
    <w:multiLevelType w:val="hybridMultilevel"/>
    <w:tmpl w:val="3C2CE5DA"/>
    <w:lvl w:ilvl="0" w:tplc="DF6E0372">
      <w:start w:val="1"/>
      <w:numFmt w:val="bullet"/>
      <w:lvlText w:val=""/>
      <w:lvlJc w:val="left"/>
      <w:pPr>
        <w:ind w:left="927" w:hanging="360"/>
      </w:pPr>
      <w:rPr>
        <w:rFonts w:ascii="Wingdings" w:hAnsi="Wingdings" w:hint="default"/>
        <w:sz w:val="48"/>
        <w:szCs w:val="48"/>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24">
    <w:nsid w:val="760B67E8"/>
    <w:multiLevelType w:val="hybridMultilevel"/>
    <w:tmpl w:val="D3109E9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nsid w:val="7B397FAD"/>
    <w:multiLevelType w:val="hybridMultilevel"/>
    <w:tmpl w:val="D4986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BCD4A91"/>
    <w:multiLevelType w:val="hybridMultilevel"/>
    <w:tmpl w:val="6552756A"/>
    <w:lvl w:ilvl="0" w:tplc="DF6E0372">
      <w:start w:val="1"/>
      <w:numFmt w:val="bullet"/>
      <w:lvlText w:val=""/>
      <w:lvlJc w:val="left"/>
      <w:pPr>
        <w:ind w:left="1080" w:hanging="360"/>
      </w:pPr>
      <w:rPr>
        <w:rFonts w:ascii="Wingdings" w:hAnsi="Wingdings" w:hint="default"/>
        <w:sz w:val="48"/>
        <w:szCs w:val="4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BDB5665"/>
    <w:multiLevelType w:val="hybridMultilevel"/>
    <w:tmpl w:val="36501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E136F1"/>
    <w:multiLevelType w:val="hybridMultilevel"/>
    <w:tmpl w:val="1206D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411967"/>
    <w:multiLevelType w:val="hybridMultilevel"/>
    <w:tmpl w:val="D536142E"/>
    <w:lvl w:ilvl="0" w:tplc="8E6E943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7C8968FE"/>
    <w:multiLevelType w:val="hybridMultilevel"/>
    <w:tmpl w:val="DCEA7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8"/>
  </w:num>
  <w:num w:numId="4">
    <w:abstractNumId w:val="27"/>
  </w:num>
  <w:num w:numId="5">
    <w:abstractNumId w:val="4"/>
  </w:num>
  <w:num w:numId="6">
    <w:abstractNumId w:val="1"/>
  </w:num>
  <w:num w:numId="7">
    <w:abstractNumId w:val="22"/>
  </w:num>
  <w:num w:numId="8">
    <w:abstractNumId w:val="28"/>
  </w:num>
  <w:num w:numId="9">
    <w:abstractNumId w:val="3"/>
  </w:num>
  <w:num w:numId="10">
    <w:abstractNumId w:val="7"/>
  </w:num>
  <w:num w:numId="11">
    <w:abstractNumId w:val="10"/>
  </w:num>
  <w:num w:numId="12">
    <w:abstractNumId w:val="15"/>
  </w:num>
  <w:num w:numId="13">
    <w:abstractNumId w:val="2"/>
  </w:num>
  <w:num w:numId="14">
    <w:abstractNumId w:val="8"/>
  </w:num>
  <w:num w:numId="15">
    <w:abstractNumId w:val="24"/>
  </w:num>
  <w:num w:numId="16">
    <w:abstractNumId w:val="16"/>
  </w:num>
  <w:num w:numId="17">
    <w:abstractNumId w:val="21"/>
  </w:num>
  <w:num w:numId="18">
    <w:abstractNumId w:val="12"/>
  </w:num>
  <w:num w:numId="19">
    <w:abstractNumId w:val="26"/>
  </w:num>
  <w:num w:numId="20">
    <w:abstractNumId w:val="23"/>
  </w:num>
  <w:num w:numId="21">
    <w:abstractNumId w:val="13"/>
  </w:num>
  <w:num w:numId="22">
    <w:abstractNumId w:val="0"/>
  </w:num>
  <w:num w:numId="23">
    <w:abstractNumId w:val="29"/>
  </w:num>
  <w:num w:numId="24">
    <w:abstractNumId w:val="20"/>
  </w:num>
  <w:num w:numId="25">
    <w:abstractNumId w:val="6"/>
  </w:num>
  <w:num w:numId="26">
    <w:abstractNumId w:val="19"/>
  </w:num>
  <w:num w:numId="27">
    <w:abstractNumId w:val="9"/>
  </w:num>
  <w:num w:numId="28">
    <w:abstractNumId w:val="14"/>
  </w:num>
  <w:num w:numId="29">
    <w:abstractNumId w:val="30"/>
  </w:num>
  <w:num w:numId="30">
    <w:abstractNumId w:val="1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6B"/>
    <w:rsid w:val="0000631D"/>
    <w:rsid w:val="00025CCC"/>
    <w:rsid w:val="00040D2E"/>
    <w:rsid w:val="000468A6"/>
    <w:rsid w:val="000A1F15"/>
    <w:rsid w:val="000E3F32"/>
    <w:rsid w:val="00110F09"/>
    <w:rsid w:val="00125962"/>
    <w:rsid w:val="00145318"/>
    <w:rsid w:val="001532A2"/>
    <w:rsid w:val="00164636"/>
    <w:rsid w:val="00171C96"/>
    <w:rsid w:val="00177353"/>
    <w:rsid w:val="00185361"/>
    <w:rsid w:val="00196E36"/>
    <w:rsid w:val="0019717D"/>
    <w:rsid w:val="001A2875"/>
    <w:rsid w:val="001C15FB"/>
    <w:rsid w:val="001C4C0F"/>
    <w:rsid w:val="001C77E7"/>
    <w:rsid w:val="00216E63"/>
    <w:rsid w:val="00220AF5"/>
    <w:rsid w:val="002562B1"/>
    <w:rsid w:val="002B65C5"/>
    <w:rsid w:val="002E48D1"/>
    <w:rsid w:val="002E59C6"/>
    <w:rsid w:val="00304DA8"/>
    <w:rsid w:val="00310AB9"/>
    <w:rsid w:val="00336C57"/>
    <w:rsid w:val="00360D10"/>
    <w:rsid w:val="003A2E3F"/>
    <w:rsid w:val="003A6E16"/>
    <w:rsid w:val="003D191B"/>
    <w:rsid w:val="003E11D1"/>
    <w:rsid w:val="003E7D69"/>
    <w:rsid w:val="003F07DA"/>
    <w:rsid w:val="0042158A"/>
    <w:rsid w:val="00440D60"/>
    <w:rsid w:val="004641EE"/>
    <w:rsid w:val="004739D1"/>
    <w:rsid w:val="00495EC9"/>
    <w:rsid w:val="00522380"/>
    <w:rsid w:val="0059457E"/>
    <w:rsid w:val="005B6980"/>
    <w:rsid w:val="005D22C3"/>
    <w:rsid w:val="005D5855"/>
    <w:rsid w:val="00604237"/>
    <w:rsid w:val="00614170"/>
    <w:rsid w:val="00622D08"/>
    <w:rsid w:val="00646A49"/>
    <w:rsid w:val="0066744C"/>
    <w:rsid w:val="00671D83"/>
    <w:rsid w:val="006F2CE5"/>
    <w:rsid w:val="00746CAE"/>
    <w:rsid w:val="00752E09"/>
    <w:rsid w:val="007B5512"/>
    <w:rsid w:val="007D5762"/>
    <w:rsid w:val="007E4B2B"/>
    <w:rsid w:val="0081773C"/>
    <w:rsid w:val="00825393"/>
    <w:rsid w:val="00833157"/>
    <w:rsid w:val="008B5704"/>
    <w:rsid w:val="009053CD"/>
    <w:rsid w:val="00967185"/>
    <w:rsid w:val="009729D0"/>
    <w:rsid w:val="009A6364"/>
    <w:rsid w:val="00A15880"/>
    <w:rsid w:val="00A3235A"/>
    <w:rsid w:val="00A7290F"/>
    <w:rsid w:val="00AB07E2"/>
    <w:rsid w:val="00AB3C6B"/>
    <w:rsid w:val="00B05836"/>
    <w:rsid w:val="00B80074"/>
    <w:rsid w:val="00B82081"/>
    <w:rsid w:val="00B92D04"/>
    <w:rsid w:val="00BB277D"/>
    <w:rsid w:val="00BB7B19"/>
    <w:rsid w:val="00BD6C38"/>
    <w:rsid w:val="00C1029A"/>
    <w:rsid w:val="00C35A93"/>
    <w:rsid w:val="00C413D7"/>
    <w:rsid w:val="00C42D2E"/>
    <w:rsid w:val="00C447E4"/>
    <w:rsid w:val="00C546A8"/>
    <w:rsid w:val="00C81D44"/>
    <w:rsid w:val="00CC751E"/>
    <w:rsid w:val="00CD108D"/>
    <w:rsid w:val="00CE6C12"/>
    <w:rsid w:val="00DA05A4"/>
    <w:rsid w:val="00DA69DE"/>
    <w:rsid w:val="00DF315E"/>
    <w:rsid w:val="00E3017D"/>
    <w:rsid w:val="00E5001E"/>
    <w:rsid w:val="00E701F9"/>
    <w:rsid w:val="00EB691F"/>
    <w:rsid w:val="00EE2CED"/>
    <w:rsid w:val="00EE3CD1"/>
    <w:rsid w:val="00F01FDA"/>
    <w:rsid w:val="00F10E22"/>
    <w:rsid w:val="00F25AA9"/>
    <w:rsid w:val="00F6790F"/>
    <w:rsid w:val="00F77F04"/>
    <w:rsid w:val="00FA7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C6B"/>
    <w:pPr>
      <w:spacing w:line="240" w:lineRule="auto"/>
    </w:pPr>
    <w:rPr>
      <w:rFonts w:ascii="Arial" w:hAnsi="Arial"/>
      <w:sz w:val="24"/>
      <w:lang w:eastAsia="en-GB"/>
    </w:rPr>
  </w:style>
  <w:style w:type="paragraph" w:styleId="Heading2">
    <w:name w:val="heading 2"/>
    <w:basedOn w:val="Normal"/>
    <w:next w:val="Normal"/>
    <w:link w:val="Heading2Char"/>
    <w:uiPriority w:val="9"/>
    <w:unhideWhenUsed/>
    <w:qFormat/>
    <w:rsid w:val="00AB3C6B"/>
    <w:pPr>
      <w:keepNext/>
      <w:keepLines/>
      <w:spacing w:before="200" w:after="12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C6B"/>
    <w:rPr>
      <w:rFonts w:ascii="Arial" w:eastAsiaTheme="majorEastAsia" w:hAnsi="Arial" w:cstheme="majorBidi"/>
      <w:b/>
      <w:bCs/>
      <w:sz w:val="28"/>
      <w:szCs w:val="26"/>
      <w:lang w:eastAsia="en-GB"/>
    </w:rPr>
  </w:style>
  <w:style w:type="character" w:styleId="Hyperlink">
    <w:name w:val="Hyperlink"/>
    <w:basedOn w:val="DefaultParagraphFont"/>
    <w:uiPriority w:val="99"/>
    <w:unhideWhenUsed/>
    <w:rsid w:val="00AB3C6B"/>
    <w:rPr>
      <w:color w:val="111111"/>
      <w:u w:val="single"/>
    </w:rPr>
  </w:style>
  <w:style w:type="paragraph" w:styleId="NoSpacing">
    <w:name w:val="No Spacing"/>
    <w:link w:val="NoSpacingChar"/>
    <w:uiPriority w:val="1"/>
    <w:qFormat/>
    <w:rsid w:val="00AB3C6B"/>
    <w:pPr>
      <w:spacing w:after="0" w:line="240" w:lineRule="auto"/>
    </w:pPr>
    <w:rPr>
      <w:rFonts w:ascii="Arial" w:hAnsi="Arial"/>
      <w:sz w:val="24"/>
      <w:lang w:eastAsia="en-GB"/>
    </w:rPr>
  </w:style>
  <w:style w:type="character" w:customStyle="1" w:styleId="StyleHyperlinkArial12ptNotBoldBlueUnderline">
    <w:name w:val="Style Hyperlink + Arial 12 pt Not Bold Blue Underline"/>
    <w:rsid w:val="00AB3C6B"/>
    <w:rPr>
      <w:rFonts w:ascii="Arial" w:hAnsi="Arial" w:hint="default"/>
      <w:bCs/>
      <w:strike w:val="0"/>
      <w:dstrike w:val="0"/>
      <w:color w:val="0000FF"/>
      <w:sz w:val="24"/>
      <w:szCs w:val="16"/>
      <w:u w:val="single"/>
      <w:effect w:val="none"/>
    </w:rPr>
  </w:style>
  <w:style w:type="character" w:customStyle="1" w:styleId="NoSpacingChar">
    <w:name w:val="No Spacing Char"/>
    <w:basedOn w:val="DefaultParagraphFont"/>
    <w:link w:val="NoSpacing"/>
    <w:uiPriority w:val="1"/>
    <w:rsid w:val="00AB3C6B"/>
    <w:rPr>
      <w:rFonts w:ascii="Arial" w:hAnsi="Arial"/>
      <w:sz w:val="24"/>
      <w:lang w:eastAsia="en-GB"/>
    </w:rPr>
  </w:style>
  <w:style w:type="paragraph" w:styleId="BalloonText">
    <w:name w:val="Balloon Text"/>
    <w:basedOn w:val="Normal"/>
    <w:link w:val="BalloonTextChar"/>
    <w:uiPriority w:val="99"/>
    <w:semiHidden/>
    <w:unhideWhenUsed/>
    <w:rsid w:val="00AB3C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C6B"/>
    <w:rPr>
      <w:rFonts w:ascii="Tahoma" w:hAnsi="Tahoma" w:cs="Tahoma"/>
      <w:sz w:val="16"/>
      <w:szCs w:val="16"/>
      <w:lang w:eastAsia="en-GB"/>
    </w:rPr>
  </w:style>
  <w:style w:type="paragraph" w:styleId="ListParagraph">
    <w:name w:val="List Paragraph"/>
    <w:basedOn w:val="Normal"/>
    <w:uiPriority w:val="34"/>
    <w:qFormat/>
    <w:rsid w:val="00304DA8"/>
    <w:pPr>
      <w:pBdr>
        <w:top w:val="nil"/>
        <w:left w:val="nil"/>
        <w:bottom w:val="nil"/>
        <w:right w:val="nil"/>
        <w:between w:val="nil"/>
        <w:bar w:val="nil"/>
      </w:pBdr>
      <w:spacing w:after="0"/>
      <w:ind w:left="720"/>
      <w:contextualSpacing/>
    </w:pPr>
    <w:rPr>
      <w:rFonts w:eastAsia="Arial Unicode MS" w:cs="Times New Roman"/>
      <w:szCs w:val="24"/>
      <w:bdr w:val="nil"/>
      <w:lang w:val="en-US" w:eastAsia="en-US"/>
    </w:rPr>
  </w:style>
  <w:style w:type="table" w:styleId="TableGrid">
    <w:name w:val="Table Grid"/>
    <w:basedOn w:val="TableNormal"/>
    <w:uiPriority w:val="59"/>
    <w:rsid w:val="00304DA8"/>
    <w:pPr>
      <w:spacing w:after="0" w:line="240" w:lineRule="auto"/>
    </w:pPr>
    <w:rPr>
      <w:rFonts w:eastAsia="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A6364"/>
    <w:rPr>
      <w:color w:val="800080" w:themeColor="followedHyperlink"/>
      <w:u w:val="single"/>
    </w:rPr>
  </w:style>
  <w:style w:type="paragraph" w:customStyle="1" w:styleId="Default">
    <w:name w:val="Default"/>
    <w:rsid w:val="00040D2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C6B"/>
    <w:pPr>
      <w:spacing w:line="240" w:lineRule="auto"/>
    </w:pPr>
    <w:rPr>
      <w:rFonts w:ascii="Arial" w:hAnsi="Arial"/>
      <w:sz w:val="24"/>
      <w:lang w:eastAsia="en-GB"/>
    </w:rPr>
  </w:style>
  <w:style w:type="paragraph" w:styleId="Heading2">
    <w:name w:val="heading 2"/>
    <w:basedOn w:val="Normal"/>
    <w:next w:val="Normal"/>
    <w:link w:val="Heading2Char"/>
    <w:uiPriority w:val="9"/>
    <w:unhideWhenUsed/>
    <w:qFormat/>
    <w:rsid w:val="00AB3C6B"/>
    <w:pPr>
      <w:keepNext/>
      <w:keepLines/>
      <w:spacing w:before="200" w:after="12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C6B"/>
    <w:rPr>
      <w:rFonts w:ascii="Arial" w:eastAsiaTheme="majorEastAsia" w:hAnsi="Arial" w:cstheme="majorBidi"/>
      <w:b/>
      <w:bCs/>
      <w:sz w:val="28"/>
      <w:szCs w:val="26"/>
      <w:lang w:eastAsia="en-GB"/>
    </w:rPr>
  </w:style>
  <w:style w:type="character" w:styleId="Hyperlink">
    <w:name w:val="Hyperlink"/>
    <w:basedOn w:val="DefaultParagraphFont"/>
    <w:uiPriority w:val="99"/>
    <w:unhideWhenUsed/>
    <w:rsid w:val="00AB3C6B"/>
    <w:rPr>
      <w:color w:val="111111"/>
      <w:u w:val="single"/>
    </w:rPr>
  </w:style>
  <w:style w:type="paragraph" w:styleId="NoSpacing">
    <w:name w:val="No Spacing"/>
    <w:link w:val="NoSpacingChar"/>
    <w:uiPriority w:val="1"/>
    <w:qFormat/>
    <w:rsid w:val="00AB3C6B"/>
    <w:pPr>
      <w:spacing w:after="0" w:line="240" w:lineRule="auto"/>
    </w:pPr>
    <w:rPr>
      <w:rFonts w:ascii="Arial" w:hAnsi="Arial"/>
      <w:sz w:val="24"/>
      <w:lang w:eastAsia="en-GB"/>
    </w:rPr>
  </w:style>
  <w:style w:type="character" w:customStyle="1" w:styleId="StyleHyperlinkArial12ptNotBoldBlueUnderline">
    <w:name w:val="Style Hyperlink + Arial 12 pt Not Bold Blue Underline"/>
    <w:rsid w:val="00AB3C6B"/>
    <w:rPr>
      <w:rFonts w:ascii="Arial" w:hAnsi="Arial" w:hint="default"/>
      <w:bCs/>
      <w:strike w:val="0"/>
      <w:dstrike w:val="0"/>
      <w:color w:val="0000FF"/>
      <w:sz w:val="24"/>
      <w:szCs w:val="16"/>
      <w:u w:val="single"/>
      <w:effect w:val="none"/>
    </w:rPr>
  </w:style>
  <w:style w:type="character" w:customStyle="1" w:styleId="NoSpacingChar">
    <w:name w:val="No Spacing Char"/>
    <w:basedOn w:val="DefaultParagraphFont"/>
    <w:link w:val="NoSpacing"/>
    <w:uiPriority w:val="1"/>
    <w:rsid w:val="00AB3C6B"/>
    <w:rPr>
      <w:rFonts w:ascii="Arial" w:hAnsi="Arial"/>
      <w:sz w:val="24"/>
      <w:lang w:eastAsia="en-GB"/>
    </w:rPr>
  </w:style>
  <w:style w:type="paragraph" w:styleId="BalloonText">
    <w:name w:val="Balloon Text"/>
    <w:basedOn w:val="Normal"/>
    <w:link w:val="BalloonTextChar"/>
    <w:uiPriority w:val="99"/>
    <w:semiHidden/>
    <w:unhideWhenUsed/>
    <w:rsid w:val="00AB3C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C6B"/>
    <w:rPr>
      <w:rFonts w:ascii="Tahoma" w:hAnsi="Tahoma" w:cs="Tahoma"/>
      <w:sz w:val="16"/>
      <w:szCs w:val="16"/>
      <w:lang w:eastAsia="en-GB"/>
    </w:rPr>
  </w:style>
  <w:style w:type="paragraph" w:styleId="ListParagraph">
    <w:name w:val="List Paragraph"/>
    <w:basedOn w:val="Normal"/>
    <w:uiPriority w:val="34"/>
    <w:qFormat/>
    <w:rsid w:val="00304DA8"/>
    <w:pPr>
      <w:pBdr>
        <w:top w:val="nil"/>
        <w:left w:val="nil"/>
        <w:bottom w:val="nil"/>
        <w:right w:val="nil"/>
        <w:between w:val="nil"/>
        <w:bar w:val="nil"/>
      </w:pBdr>
      <w:spacing w:after="0"/>
      <w:ind w:left="720"/>
      <w:contextualSpacing/>
    </w:pPr>
    <w:rPr>
      <w:rFonts w:eastAsia="Arial Unicode MS" w:cs="Times New Roman"/>
      <w:szCs w:val="24"/>
      <w:bdr w:val="nil"/>
      <w:lang w:val="en-US" w:eastAsia="en-US"/>
    </w:rPr>
  </w:style>
  <w:style w:type="table" w:styleId="TableGrid">
    <w:name w:val="Table Grid"/>
    <w:basedOn w:val="TableNormal"/>
    <w:uiPriority w:val="59"/>
    <w:rsid w:val="00304DA8"/>
    <w:pPr>
      <w:spacing w:after="0" w:line="240" w:lineRule="auto"/>
    </w:pPr>
    <w:rPr>
      <w:rFonts w:eastAsia="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A6364"/>
    <w:rPr>
      <w:color w:val="800080" w:themeColor="followedHyperlink"/>
      <w:u w:val="single"/>
    </w:rPr>
  </w:style>
  <w:style w:type="paragraph" w:customStyle="1" w:styleId="Default">
    <w:name w:val="Default"/>
    <w:rsid w:val="00040D2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97829">
      <w:bodyDiv w:val="1"/>
      <w:marLeft w:val="0"/>
      <w:marRight w:val="0"/>
      <w:marTop w:val="0"/>
      <w:marBottom w:val="0"/>
      <w:divBdr>
        <w:top w:val="none" w:sz="0" w:space="0" w:color="auto"/>
        <w:left w:val="none" w:sz="0" w:space="0" w:color="auto"/>
        <w:bottom w:val="none" w:sz="0" w:space="0" w:color="auto"/>
        <w:right w:val="none" w:sz="0" w:space="0" w:color="auto"/>
      </w:divBdr>
    </w:div>
    <w:div w:id="767963427">
      <w:bodyDiv w:val="1"/>
      <w:marLeft w:val="0"/>
      <w:marRight w:val="0"/>
      <w:marTop w:val="0"/>
      <w:marBottom w:val="0"/>
      <w:divBdr>
        <w:top w:val="none" w:sz="0" w:space="0" w:color="auto"/>
        <w:left w:val="none" w:sz="0" w:space="0" w:color="auto"/>
        <w:bottom w:val="none" w:sz="0" w:space="0" w:color="auto"/>
        <w:right w:val="none" w:sz="0" w:space="0" w:color="auto"/>
      </w:divBdr>
    </w:div>
    <w:div w:id="189484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3" Type="http://schemas.microsoft.com/office/2007/relationships/stylesWithEffects" Target="stylesWithEffects.xml"/><Relationship Id="rId7" Type="http://schemas.openxmlformats.org/officeDocument/2006/relationships/hyperlink" Target="https://www.highland.gov.uk/download/meetings/id/71643/item_8_local_housing_strategy" TargetMode="Externa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qualityhumanrights.com/uploaded_files/Scotland/PSED_in_Scotland/essential_guide_to_the_psed.doc" TargetMode="Externa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2657</Words>
  <Characters>15149</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MacKinnon</dc:creator>
  <cp:lastModifiedBy>David Goldie</cp:lastModifiedBy>
  <cp:revision>2</cp:revision>
  <cp:lastPrinted>2017-12-12T14:00:00Z</cp:lastPrinted>
  <dcterms:created xsi:type="dcterms:W3CDTF">2017-12-22T16:38:00Z</dcterms:created>
  <dcterms:modified xsi:type="dcterms:W3CDTF">2017-12-22T16:38:00Z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317653229</vt:i4>
  </property>
  <property fmtid="{D5CDD505-2E9C-101B-9397-08002B2CF9AE}" pid="3" name="_NewReviewCycle">
    <vt:lpwstr/>
  </property>
  <property fmtid="{D5CDD505-2E9C-101B-9397-08002B2CF9AE}" pid="4" name="_EmailSubject">
    <vt:lpwstr>Local Housing Strategy</vt:lpwstr>
  </property>
  <property fmtid="{D5CDD505-2E9C-101B-9397-08002B2CF9AE}" pid="5" name="_AuthorEmail">
    <vt:lpwstr>david.goldie@highland.gov.uk</vt:lpwstr>
  </property>
  <property fmtid="{D5CDD505-2E9C-101B-9397-08002B2CF9AE}" pid="6" name="_AuthorEmailDisplayName">
    <vt:lpwstr>David Goldie</vt:lpwstr>
  </property>
  <property fmtid="{D5CDD505-2E9C-101B-9397-08002B2CF9AE}" pid="7" name="_PreviousAdHocReviewCycleID">
    <vt:i4>-1912745126</vt:i4>
  </property>
</Properties>
</file>