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7A" w:rsidRPr="009F237F" w:rsidRDefault="00DF5D7A" w:rsidP="009F237F">
      <w:pPr>
        <w:jc w:val="center"/>
        <w:rPr>
          <w:rFonts w:ascii="Arial" w:hAnsi="Arial" w:cs="Arial"/>
          <w:b/>
        </w:rPr>
      </w:pPr>
      <w:r w:rsidRPr="009F237F">
        <w:rPr>
          <w:rFonts w:ascii="Arial" w:hAnsi="Arial" w:cs="Arial"/>
          <w:b/>
        </w:rPr>
        <w:t xml:space="preserve">Redesign Board </w:t>
      </w:r>
      <w:r w:rsidR="00E95DB2">
        <w:rPr>
          <w:rFonts w:ascii="Arial" w:hAnsi="Arial" w:cs="Arial"/>
          <w:b/>
        </w:rPr>
        <w:t xml:space="preserve">Workshop </w:t>
      </w:r>
      <w:r w:rsidRPr="009F237F">
        <w:rPr>
          <w:rFonts w:ascii="Arial" w:hAnsi="Arial" w:cs="Arial"/>
          <w:b/>
        </w:rPr>
        <w:t>– Provision of External Legal Services</w:t>
      </w:r>
    </w:p>
    <w:p w:rsidR="00DF5D7A" w:rsidRPr="009F237F" w:rsidRDefault="00DF5D7A" w:rsidP="009F237F">
      <w:pPr>
        <w:jc w:val="center"/>
        <w:rPr>
          <w:rFonts w:ascii="Arial" w:hAnsi="Arial" w:cs="Arial"/>
          <w:b/>
        </w:rPr>
      </w:pPr>
      <w:r w:rsidRPr="009F237F">
        <w:rPr>
          <w:rFonts w:ascii="Arial" w:hAnsi="Arial" w:cs="Arial"/>
          <w:b/>
        </w:rPr>
        <w:t>14 November, 2017</w:t>
      </w:r>
    </w:p>
    <w:p w:rsidR="00DF5D7A" w:rsidRPr="009F237F" w:rsidRDefault="00E95DB2" w:rsidP="009F237F">
      <w:pPr>
        <w:jc w:val="center"/>
        <w:rPr>
          <w:rFonts w:ascii="Arial" w:hAnsi="Arial" w:cs="Arial"/>
          <w:b/>
        </w:rPr>
      </w:pPr>
      <w:r>
        <w:rPr>
          <w:rFonts w:ascii="Arial" w:hAnsi="Arial" w:cs="Arial"/>
          <w:b/>
        </w:rPr>
        <w:t xml:space="preserve">PROPOSED </w:t>
      </w:r>
      <w:bookmarkStart w:id="0" w:name="_GoBack"/>
      <w:bookmarkEnd w:id="0"/>
      <w:r w:rsidR="00534FCD" w:rsidRPr="009F237F">
        <w:rPr>
          <w:rFonts w:ascii="Arial" w:hAnsi="Arial" w:cs="Arial"/>
          <w:b/>
        </w:rPr>
        <w:t>SCOPE</w:t>
      </w:r>
    </w:p>
    <w:p w:rsidR="009F237F" w:rsidRDefault="009F237F">
      <w:pPr>
        <w:rPr>
          <w:rFonts w:ascii="Arial" w:hAnsi="Arial" w:cs="Arial"/>
          <w:b/>
        </w:rPr>
      </w:pPr>
      <w:r>
        <w:rPr>
          <w:rFonts w:ascii="Arial" w:hAnsi="Arial" w:cs="Arial"/>
          <w:b/>
        </w:rPr>
        <w:t xml:space="preserve">Summary </w:t>
      </w:r>
    </w:p>
    <w:p w:rsidR="009F237F" w:rsidRPr="00583560" w:rsidRDefault="00583560" w:rsidP="00583560">
      <w:pPr>
        <w:jc w:val="both"/>
        <w:rPr>
          <w:rFonts w:ascii="Arial" w:hAnsi="Arial" w:cs="Arial"/>
        </w:rPr>
      </w:pPr>
      <w:r w:rsidRPr="00583560">
        <w:rPr>
          <w:rFonts w:ascii="Arial" w:hAnsi="Arial" w:cs="Arial"/>
        </w:rPr>
        <w:t xml:space="preserve">The purpose of this review is </w:t>
      </w:r>
      <w:r w:rsidR="00081907">
        <w:rPr>
          <w:rFonts w:ascii="Arial" w:hAnsi="Arial" w:cs="Arial"/>
        </w:rPr>
        <w:t xml:space="preserve">to examine </w:t>
      </w:r>
      <w:r w:rsidRPr="00583560">
        <w:rPr>
          <w:rFonts w:ascii="Arial" w:hAnsi="Arial" w:cs="Arial"/>
        </w:rPr>
        <w:t>the provision of external legal services</w:t>
      </w:r>
      <w:r w:rsidR="006A45AF">
        <w:rPr>
          <w:rFonts w:ascii="Arial" w:hAnsi="Arial" w:cs="Arial"/>
        </w:rPr>
        <w:t xml:space="preserve"> and</w:t>
      </w:r>
      <w:r w:rsidRPr="00583560">
        <w:rPr>
          <w:rFonts w:ascii="Arial" w:hAnsi="Arial" w:cs="Arial"/>
        </w:rPr>
        <w:t xml:space="preserve"> </w:t>
      </w:r>
      <w:r w:rsidR="00081907">
        <w:rPr>
          <w:rFonts w:ascii="Arial" w:hAnsi="Arial" w:cs="Arial"/>
        </w:rPr>
        <w:t>to explore whether</w:t>
      </w:r>
      <w:r w:rsidR="00AF045C">
        <w:rPr>
          <w:rFonts w:ascii="Arial" w:hAnsi="Arial" w:cs="Arial"/>
        </w:rPr>
        <w:t xml:space="preserve"> a more cost effective </w:t>
      </w:r>
      <w:r w:rsidR="00081907">
        <w:rPr>
          <w:rFonts w:ascii="Arial" w:hAnsi="Arial" w:cs="Arial"/>
        </w:rPr>
        <w:t xml:space="preserve">solution can be identified which will continue to meet service user requirements for specialist </w:t>
      </w:r>
      <w:r w:rsidR="00081907" w:rsidRPr="009F237F">
        <w:rPr>
          <w:rFonts w:ascii="Arial" w:hAnsi="Arial" w:cs="Arial"/>
        </w:rPr>
        <w:t>legal services</w:t>
      </w:r>
      <w:r w:rsidR="00081907">
        <w:rPr>
          <w:rFonts w:ascii="Arial" w:hAnsi="Arial" w:cs="Arial"/>
        </w:rPr>
        <w:t>.</w:t>
      </w:r>
    </w:p>
    <w:p w:rsidR="00DF5D7A" w:rsidRPr="009F237F" w:rsidRDefault="00DF5D7A">
      <w:pPr>
        <w:rPr>
          <w:rFonts w:ascii="Arial" w:hAnsi="Arial" w:cs="Arial"/>
          <w:b/>
        </w:rPr>
      </w:pPr>
      <w:r w:rsidRPr="009F237F">
        <w:rPr>
          <w:rFonts w:ascii="Arial" w:hAnsi="Arial" w:cs="Arial"/>
          <w:b/>
        </w:rPr>
        <w:t>Background</w:t>
      </w:r>
    </w:p>
    <w:p w:rsidR="00107FFB" w:rsidRPr="009F237F" w:rsidRDefault="00DF5D7A" w:rsidP="001B24D0">
      <w:pPr>
        <w:jc w:val="both"/>
        <w:rPr>
          <w:rFonts w:ascii="Arial" w:hAnsi="Arial" w:cs="Arial"/>
        </w:rPr>
      </w:pPr>
      <w:r w:rsidRPr="009F237F">
        <w:rPr>
          <w:rFonts w:ascii="Arial" w:hAnsi="Arial" w:cs="Arial"/>
        </w:rPr>
        <w:t>The Council’</w:t>
      </w:r>
      <w:r w:rsidR="00107FFB" w:rsidRPr="009F237F">
        <w:rPr>
          <w:rFonts w:ascii="Arial" w:hAnsi="Arial" w:cs="Arial"/>
        </w:rPr>
        <w:t>s Legal Team</w:t>
      </w:r>
      <w:r w:rsidR="001B24D0">
        <w:rPr>
          <w:rFonts w:ascii="Arial" w:hAnsi="Arial" w:cs="Arial"/>
        </w:rPr>
        <w:t xml:space="preserve"> led by the Head of Corporate </w:t>
      </w:r>
      <w:r w:rsidR="002E1F9F">
        <w:rPr>
          <w:rFonts w:ascii="Arial" w:hAnsi="Arial" w:cs="Arial"/>
        </w:rPr>
        <w:t xml:space="preserve">Governance </w:t>
      </w:r>
      <w:r w:rsidR="002E1F9F" w:rsidRPr="009F237F">
        <w:rPr>
          <w:rFonts w:ascii="Arial" w:hAnsi="Arial" w:cs="Arial"/>
        </w:rPr>
        <w:t>has</w:t>
      </w:r>
      <w:r w:rsidRPr="009F237F">
        <w:rPr>
          <w:rFonts w:ascii="Arial" w:hAnsi="Arial" w:cs="Arial"/>
        </w:rPr>
        <w:t xml:space="preserve"> a</w:t>
      </w:r>
      <w:r w:rsidR="00107FFB" w:rsidRPr="009F237F">
        <w:rPr>
          <w:rFonts w:ascii="Arial" w:hAnsi="Arial" w:cs="Arial"/>
        </w:rPr>
        <w:t xml:space="preserve"> current </w:t>
      </w:r>
      <w:r w:rsidRPr="009F237F">
        <w:rPr>
          <w:rFonts w:ascii="Arial" w:hAnsi="Arial" w:cs="Arial"/>
        </w:rPr>
        <w:t xml:space="preserve">establishment of </w:t>
      </w:r>
      <w:r w:rsidR="00107FFB" w:rsidRPr="009F237F">
        <w:rPr>
          <w:rFonts w:ascii="Arial" w:hAnsi="Arial" w:cs="Arial"/>
        </w:rPr>
        <w:t>13</w:t>
      </w:r>
      <w:r w:rsidR="001B24D0">
        <w:rPr>
          <w:rFonts w:ascii="Arial" w:hAnsi="Arial" w:cs="Arial"/>
        </w:rPr>
        <w:t>.2</w:t>
      </w:r>
      <w:r w:rsidR="00107FFB" w:rsidRPr="009F237F">
        <w:rPr>
          <w:rFonts w:ascii="Arial" w:hAnsi="Arial" w:cs="Arial"/>
        </w:rPr>
        <w:t xml:space="preserve"> FTE members of staff based in Inverness and Dingwall and is divided into three teams:</w:t>
      </w:r>
    </w:p>
    <w:p w:rsidR="00107FFB" w:rsidRPr="009F237F" w:rsidRDefault="00107FFB" w:rsidP="001B24D0">
      <w:pPr>
        <w:pStyle w:val="ListParagraph"/>
        <w:numPr>
          <w:ilvl w:val="0"/>
          <w:numId w:val="1"/>
        </w:numPr>
        <w:spacing w:after="0" w:line="240" w:lineRule="auto"/>
        <w:jc w:val="both"/>
        <w:rPr>
          <w:rFonts w:ascii="Arial" w:hAnsi="Arial" w:cs="Arial"/>
        </w:rPr>
      </w:pPr>
      <w:r w:rsidRPr="009F237F">
        <w:rPr>
          <w:rFonts w:ascii="Arial" w:hAnsi="Arial" w:cs="Arial"/>
        </w:rPr>
        <w:t xml:space="preserve">Litigation and Advice - 4 FTE </w:t>
      </w:r>
    </w:p>
    <w:p w:rsidR="00107FFB" w:rsidRPr="009F237F" w:rsidRDefault="00107FFB" w:rsidP="001B24D0">
      <w:pPr>
        <w:pStyle w:val="ListParagraph"/>
        <w:numPr>
          <w:ilvl w:val="0"/>
          <w:numId w:val="1"/>
        </w:numPr>
        <w:spacing w:after="0" w:line="240" w:lineRule="auto"/>
        <w:jc w:val="both"/>
        <w:rPr>
          <w:rFonts w:ascii="Arial" w:hAnsi="Arial" w:cs="Arial"/>
        </w:rPr>
      </w:pPr>
      <w:r w:rsidRPr="009F237F">
        <w:rPr>
          <w:rFonts w:ascii="Arial" w:hAnsi="Arial" w:cs="Arial"/>
        </w:rPr>
        <w:t xml:space="preserve">Regulatory and Licensing - 3.6 FTE </w:t>
      </w:r>
    </w:p>
    <w:p w:rsidR="00107FFB" w:rsidRPr="009F237F" w:rsidRDefault="00107FFB" w:rsidP="001B24D0">
      <w:pPr>
        <w:pStyle w:val="ListParagraph"/>
        <w:numPr>
          <w:ilvl w:val="0"/>
          <w:numId w:val="1"/>
        </w:numPr>
        <w:spacing w:after="0" w:line="240" w:lineRule="auto"/>
        <w:jc w:val="both"/>
        <w:rPr>
          <w:rFonts w:ascii="Arial" w:hAnsi="Arial" w:cs="Arial"/>
        </w:rPr>
      </w:pPr>
      <w:r w:rsidRPr="009F237F">
        <w:rPr>
          <w:rFonts w:ascii="Arial" w:hAnsi="Arial" w:cs="Arial"/>
        </w:rPr>
        <w:t>Conveyancing and Commer</w:t>
      </w:r>
      <w:r w:rsidR="00081907">
        <w:rPr>
          <w:rFonts w:ascii="Arial" w:hAnsi="Arial" w:cs="Arial"/>
        </w:rPr>
        <w:t>cial – 4.6</w:t>
      </w:r>
      <w:r w:rsidRPr="009F237F">
        <w:rPr>
          <w:rFonts w:ascii="Arial" w:hAnsi="Arial" w:cs="Arial"/>
        </w:rPr>
        <w:t xml:space="preserve"> FTE</w:t>
      </w:r>
    </w:p>
    <w:p w:rsidR="00107FFB" w:rsidRPr="009F237F" w:rsidRDefault="00107FFB" w:rsidP="00107FFB">
      <w:pPr>
        <w:spacing w:after="0" w:line="240" w:lineRule="auto"/>
        <w:contextualSpacing/>
        <w:rPr>
          <w:rFonts w:ascii="Arial" w:hAnsi="Arial" w:cs="Arial"/>
          <w:color w:val="FF0000"/>
        </w:rPr>
      </w:pPr>
    </w:p>
    <w:p w:rsidR="00C96890" w:rsidRPr="009F237F" w:rsidRDefault="00107FFB" w:rsidP="00107FFB">
      <w:pPr>
        <w:jc w:val="both"/>
        <w:rPr>
          <w:rFonts w:ascii="Arial" w:hAnsi="Arial" w:cs="Arial"/>
        </w:rPr>
      </w:pPr>
      <w:r w:rsidRPr="009F237F">
        <w:rPr>
          <w:rFonts w:ascii="Arial" w:hAnsi="Arial" w:cs="Arial"/>
        </w:rPr>
        <w:t>In additio</w:t>
      </w:r>
      <w:r w:rsidR="00C96890" w:rsidRPr="009F237F">
        <w:rPr>
          <w:rFonts w:ascii="Arial" w:hAnsi="Arial" w:cs="Arial"/>
        </w:rPr>
        <w:t xml:space="preserve">n, individual </w:t>
      </w:r>
      <w:r w:rsidRPr="009F237F">
        <w:rPr>
          <w:rFonts w:ascii="Arial" w:hAnsi="Arial" w:cs="Arial"/>
        </w:rPr>
        <w:t xml:space="preserve">Services have recognised the demand being placed upon the Legal </w:t>
      </w:r>
      <w:r w:rsidR="00C96890" w:rsidRPr="009F237F">
        <w:rPr>
          <w:rFonts w:ascii="Arial" w:hAnsi="Arial" w:cs="Arial"/>
        </w:rPr>
        <w:t xml:space="preserve">Team </w:t>
      </w:r>
      <w:r w:rsidRPr="009F237F">
        <w:rPr>
          <w:rFonts w:ascii="Arial" w:hAnsi="Arial" w:cs="Arial"/>
        </w:rPr>
        <w:t xml:space="preserve">and </w:t>
      </w:r>
      <w:r w:rsidR="0054622C" w:rsidRPr="009F237F">
        <w:rPr>
          <w:rFonts w:ascii="Arial" w:hAnsi="Arial" w:cs="Arial"/>
        </w:rPr>
        <w:t xml:space="preserve">are </w:t>
      </w:r>
      <w:r w:rsidRPr="009F237F">
        <w:rPr>
          <w:rFonts w:ascii="Arial" w:hAnsi="Arial" w:cs="Arial"/>
        </w:rPr>
        <w:t>support</w:t>
      </w:r>
      <w:r w:rsidR="0054622C" w:rsidRPr="009F237F">
        <w:rPr>
          <w:rFonts w:ascii="Arial" w:hAnsi="Arial" w:cs="Arial"/>
        </w:rPr>
        <w:t>ing</w:t>
      </w:r>
      <w:r w:rsidRPr="009F237F">
        <w:rPr>
          <w:rFonts w:ascii="Arial" w:hAnsi="Arial" w:cs="Arial"/>
        </w:rPr>
        <w:t xml:space="preserve"> </w:t>
      </w:r>
      <w:r w:rsidR="00C96890" w:rsidRPr="009F237F">
        <w:rPr>
          <w:rFonts w:ascii="Arial" w:hAnsi="Arial" w:cs="Arial"/>
        </w:rPr>
        <w:t xml:space="preserve">them </w:t>
      </w:r>
      <w:r w:rsidRPr="009F237F">
        <w:rPr>
          <w:rFonts w:ascii="Arial" w:hAnsi="Arial" w:cs="Arial"/>
        </w:rPr>
        <w:t xml:space="preserve">directly through </w:t>
      </w:r>
      <w:r w:rsidR="008D41BA">
        <w:rPr>
          <w:rFonts w:ascii="Arial" w:hAnsi="Arial" w:cs="Arial"/>
        </w:rPr>
        <w:t xml:space="preserve">the </w:t>
      </w:r>
      <w:r w:rsidRPr="009F237F">
        <w:rPr>
          <w:rFonts w:ascii="Arial" w:hAnsi="Arial" w:cs="Arial"/>
        </w:rPr>
        <w:t xml:space="preserve">funding </w:t>
      </w:r>
      <w:r w:rsidR="008D41BA">
        <w:rPr>
          <w:rFonts w:ascii="Arial" w:hAnsi="Arial" w:cs="Arial"/>
        </w:rPr>
        <w:t xml:space="preserve">of </w:t>
      </w:r>
      <w:r w:rsidR="0054622C" w:rsidRPr="009F237F">
        <w:rPr>
          <w:rFonts w:ascii="Arial" w:hAnsi="Arial" w:cs="Arial"/>
        </w:rPr>
        <w:t xml:space="preserve">3.2 FTE </w:t>
      </w:r>
      <w:r w:rsidR="008D41BA" w:rsidRPr="009F237F">
        <w:rPr>
          <w:rFonts w:ascii="Arial" w:hAnsi="Arial" w:cs="Arial"/>
        </w:rPr>
        <w:t xml:space="preserve">temporary </w:t>
      </w:r>
      <w:r w:rsidRPr="009F237F">
        <w:rPr>
          <w:rFonts w:ascii="Arial" w:hAnsi="Arial" w:cs="Arial"/>
        </w:rPr>
        <w:t>post</w:t>
      </w:r>
      <w:r w:rsidR="00C96890" w:rsidRPr="009F237F">
        <w:rPr>
          <w:rFonts w:ascii="Arial" w:hAnsi="Arial" w:cs="Arial"/>
        </w:rPr>
        <w:t xml:space="preserve">s on a year by year basis as follows: </w:t>
      </w:r>
    </w:p>
    <w:p w:rsidR="00C96890" w:rsidRPr="009F237F" w:rsidRDefault="00107FFB" w:rsidP="00C96890">
      <w:pPr>
        <w:pStyle w:val="ListParagraph"/>
        <w:numPr>
          <w:ilvl w:val="0"/>
          <w:numId w:val="2"/>
        </w:numPr>
        <w:jc w:val="both"/>
        <w:rPr>
          <w:rFonts w:ascii="Arial" w:hAnsi="Arial" w:cs="Arial"/>
        </w:rPr>
      </w:pPr>
      <w:r w:rsidRPr="009F237F">
        <w:rPr>
          <w:rFonts w:ascii="Arial" w:hAnsi="Arial" w:cs="Arial"/>
        </w:rPr>
        <w:t xml:space="preserve">1.6 FTE temporary solicitor positions funded by Housing Development (0.6 FTE) and Asset Management (1FTE). </w:t>
      </w:r>
    </w:p>
    <w:p w:rsidR="00107FFB" w:rsidRDefault="001B24D0" w:rsidP="00107FFB">
      <w:pPr>
        <w:pStyle w:val="ListParagraph"/>
        <w:numPr>
          <w:ilvl w:val="0"/>
          <w:numId w:val="2"/>
        </w:numPr>
        <w:jc w:val="both"/>
        <w:rPr>
          <w:rFonts w:ascii="Arial" w:hAnsi="Arial" w:cs="Arial"/>
        </w:rPr>
      </w:pPr>
      <w:r>
        <w:rPr>
          <w:rFonts w:ascii="Arial" w:hAnsi="Arial" w:cs="Arial"/>
        </w:rPr>
        <w:t>T</w:t>
      </w:r>
      <w:r w:rsidR="00107FFB" w:rsidRPr="009F237F">
        <w:rPr>
          <w:rFonts w:ascii="Arial" w:hAnsi="Arial" w:cs="Arial"/>
        </w:rPr>
        <w:t xml:space="preserve">he Head of Housing </w:t>
      </w:r>
      <w:r>
        <w:rPr>
          <w:rFonts w:ascii="Arial" w:hAnsi="Arial" w:cs="Arial"/>
        </w:rPr>
        <w:t xml:space="preserve">is funding </w:t>
      </w:r>
      <w:r w:rsidR="00107FFB" w:rsidRPr="009F237F">
        <w:rPr>
          <w:rFonts w:ascii="Arial" w:hAnsi="Arial" w:cs="Arial"/>
        </w:rPr>
        <w:t>from the HRA a temporary one year solicitor post</w:t>
      </w:r>
      <w:r w:rsidR="00C96890" w:rsidRPr="009F237F">
        <w:rPr>
          <w:rFonts w:ascii="Arial" w:hAnsi="Arial" w:cs="Arial"/>
        </w:rPr>
        <w:t xml:space="preserve"> (1FTE)</w:t>
      </w:r>
      <w:r w:rsidR="00107FFB" w:rsidRPr="009F237F">
        <w:rPr>
          <w:rFonts w:ascii="Arial" w:hAnsi="Arial" w:cs="Arial"/>
        </w:rPr>
        <w:t xml:space="preserve"> to deal exclusively with right to buy disposals.</w:t>
      </w:r>
    </w:p>
    <w:p w:rsidR="00A255AC" w:rsidRPr="00A255AC" w:rsidRDefault="00A255AC" w:rsidP="00A255AC">
      <w:pPr>
        <w:pStyle w:val="ListParagraph"/>
        <w:numPr>
          <w:ilvl w:val="0"/>
          <w:numId w:val="2"/>
        </w:numPr>
        <w:jc w:val="both"/>
        <w:rPr>
          <w:rFonts w:ascii="Arial" w:hAnsi="Arial" w:cs="Arial"/>
          <w:i/>
        </w:rPr>
      </w:pPr>
      <w:r w:rsidRPr="009F237F">
        <w:rPr>
          <w:rFonts w:ascii="Arial" w:hAnsi="Arial" w:cs="Arial"/>
        </w:rPr>
        <w:t>Revenues Team wi</w:t>
      </w:r>
      <w:r w:rsidR="006A45AF">
        <w:rPr>
          <w:rFonts w:ascii="Arial" w:hAnsi="Arial" w:cs="Arial"/>
        </w:rPr>
        <w:t xml:space="preserve">thin Finance Service (0.6 FTE) </w:t>
      </w:r>
      <w:r w:rsidRPr="00A255AC">
        <w:rPr>
          <w:rFonts w:ascii="Arial" w:hAnsi="Arial" w:cs="Arial"/>
          <w:i/>
        </w:rPr>
        <w:t>(</w:t>
      </w:r>
      <w:r w:rsidR="006A45AF">
        <w:rPr>
          <w:rFonts w:ascii="Arial" w:hAnsi="Arial" w:cs="Arial"/>
          <w:i/>
        </w:rPr>
        <w:t>t</w:t>
      </w:r>
      <w:r w:rsidR="006A45AF" w:rsidRPr="00A255AC">
        <w:rPr>
          <w:rFonts w:ascii="Arial" w:hAnsi="Arial" w:cs="Arial"/>
          <w:i/>
        </w:rPr>
        <w:t>his</w:t>
      </w:r>
      <w:r w:rsidRPr="00A255AC">
        <w:rPr>
          <w:rFonts w:ascii="Arial" w:hAnsi="Arial" w:cs="Arial"/>
          <w:i/>
        </w:rPr>
        <w:t xml:space="preserve"> post is managed directly by Corporate Resources</w:t>
      </w:r>
      <w:r>
        <w:rPr>
          <w:rFonts w:ascii="Arial" w:hAnsi="Arial" w:cs="Arial"/>
          <w:i/>
        </w:rPr>
        <w:t>).</w:t>
      </w:r>
    </w:p>
    <w:p w:rsidR="003D3C47" w:rsidRDefault="00C96890" w:rsidP="00107FFB">
      <w:pPr>
        <w:jc w:val="both"/>
        <w:rPr>
          <w:rFonts w:ascii="Arial" w:hAnsi="Arial" w:cs="Arial"/>
        </w:rPr>
      </w:pPr>
      <w:r w:rsidRPr="009F237F">
        <w:rPr>
          <w:rFonts w:ascii="Arial" w:hAnsi="Arial" w:cs="Arial"/>
        </w:rPr>
        <w:t xml:space="preserve">In addition to the in house legal provision, the Council also </w:t>
      </w:r>
      <w:r w:rsidR="003D3C47">
        <w:rPr>
          <w:rFonts w:ascii="Arial" w:hAnsi="Arial" w:cs="Arial"/>
        </w:rPr>
        <w:t xml:space="preserve">commissions </w:t>
      </w:r>
      <w:r w:rsidR="00534FCD" w:rsidRPr="009F237F">
        <w:rPr>
          <w:rFonts w:ascii="Arial" w:hAnsi="Arial" w:cs="Arial"/>
        </w:rPr>
        <w:t xml:space="preserve">external legal services from the private sector through </w:t>
      </w:r>
      <w:r w:rsidR="003D3C47">
        <w:rPr>
          <w:rFonts w:ascii="Arial" w:hAnsi="Arial" w:cs="Arial"/>
        </w:rPr>
        <w:t xml:space="preserve">both </w:t>
      </w:r>
      <w:r w:rsidR="00534FCD" w:rsidRPr="009F237F">
        <w:rPr>
          <w:rFonts w:ascii="Arial" w:hAnsi="Arial" w:cs="Arial"/>
        </w:rPr>
        <w:t xml:space="preserve">a framework agreement with Harper Macleod LLP and through </w:t>
      </w:r>
      <w:r w:rsidR="003D3C47">
        <w:rPr>
          <w:rFonts w:ascii="Arial" w:hAnsi="Arial" w:cs="Arial"/>
        </w:rPr>
        <w:t>a number of other legal companies.</w:t>
      </w:r>
    </w:p>
    <w:p w:rsidR="00534FCD" w:rsidRPr="009F237F" w:rsidRDefault="00534FCD" w:rsidP="00107FFB">
      <w:pPr>
        <w:jc w:val="both"/>
        <w:rPr>
          <w:rFonts w:ascii="Arial" w:hAnsi="Arial" w:cs="Arial"/>
        </w:rPr>
      </w:pPr>
      <w:r w:rsidRPr="009F237F">
        <w:rPr>
          <w:rFonts w:ascii="Arial" w:hAnsi="Arial" w:cs="Arial"/>
        </w:rPr>
        <w:t xml:space="preserve">This </w:t>
      </w:r>
      <w:r w:rsidR="003D3C47">
        <w:rPr>
          <w:rFonts w:ascii="Arial" w:hAnsi="Arial" w:cs="Arial"/>
        </w:rPr>
        <w:t xml:space="preserve">expenditure </w:t>
      </w:r>
      <w:r w:rsidRPr="009F237F">
        <w:rPr>
          <w:rFonts w:ascii="Arial" w:hAnsi="Arial" w:cs="Arial"/>
        </w:rPr>
        <w:t xml:space="preserve">primarily relates </w:t>
      </w:r>
      <w:r w:rsidR="008D41BA">
        <w:rPr>
          <w:rFonts w:ascii="Arial" w:hAnsi="Arial" w:cs="Arial"/>
        </w:rPr>
        <w:t xml:space="preserve">to </w:t>
      </w:r>
      <w:r w:rsidR="003D3C47">
        <w:rPr>
          <w:rFonts w:ascii="Arial" w:hAnsi="Arial" w:cs="Arial"/>
        </w:rPr>
        <w:t xml:space="preserve">the provision of </w:t>
      </w:r>
      <w:r w:rsidRPr="009F237F">
        <w:rPr>
          <w:rFonts w:ascii="Arial" w:hAnsi="Arial" w:cs="Arial"/>
        </w:rPr>
        <w:t xml:space="preserve">specialist legal services </w:t>
      </w:r>
      <w:r w:rsidR="008D41BA">
        <w:rPr>
          <w:rFonts w:ascii="Arial" w:hAnsi="Arial" w:cs="Arial"/>
        </w:rPr>
        <w:t xml:space="preserve">in the areas of </w:t>
      </w:r>
      <w:r w:rsidRPr="009F237F">
        <w:rPr>
          <w:rFonts w:ascii="Arial" w:hAnsi="Arial" w:cs="Arial"/>
        </w:rPr>
        <w:t>employment, procurement, major construction and projects.</w:t>
      </w:r>
    </w:p>
    <w:p w:rsidR="00583560" w:rsidRDefault="00583560" w:rsidP="00107FFB">
      <w:pPr>
        <w:jc w:val="both"/>
        <w:rPr>
          <w:rFonts w:ascii="Arial" w:hAnsi="Arial" w:cs="Arial"/>
          <w:b/>
        </w:rPr>
      </w:pPr>
      <w:r w:rsidRPr="00583560">
        <w:rPr>
          <w:rFonts w:ascii="Arial" w:hAnsi="Arial" w:cs="Arial"/>
          <w:b/>
        </w:rPr>
        <w:t xml:space="preserve">Finance </w:t>
      </w:r>
    </w:p>
    <w:p w:rsidR="00583560" w:rsidRPr="00583560" w:rsidRDefault="00583560" w:rsidP="00107FFB">
      <w:pPr>
        <w:jc w:val="both"/>
        <w:rPr>
          <w:rFonts w:ascii="Arial" w:hAnsi="Arial" w:cs="Arial"/>
        </w:rPr>
      </w:pPr>
      <w:r w:rsidRPr="00583560">
        <w:rPr>
          <w:rFonts w:ascii="Arial" w:hAnsi="Arial" w:cs="Arial"/>
        </w:rPr>
        <w:t xml:space="preserve">Based on figures </w:t>
      </w:r>
      <w:r w:rsidR="003D3C47">
        <w:rPr>
          <w:rFonts w:ascii="Arial" w:hAnsi="Arial" w:cs="Arial"/>
        </w:rPr>
        <w:t xml:space="preserve">from Corporate Resources </w:t>
      </w:r>
      <w:r w:rsidRPr="00583560">
        <w:rPr>
          <w:rFonts w:ascii="Arial" w:hAnsi="Arial" w:cs="Arial"/>
        </w:rPr>
        <w:t xml:space="preserve">expenditure </w:t>
      </w:r>
      <w:r w:rsidR="003D3C47">
        <w:rPr>
          <w:rFonts w:ascii="Arial" w:hAnsi="Arial" w:cs="Arial"/>
        </w:rPr>
        <w:t>in</w:t>
      </w:r>
      <w:r w:rsidR="003D3C47" w:rsidRPr="00583560">
        <w:rPr>
          <w:rFonts w:ascii="Arial" w:hAnsi="Arial" w:cs="Arial"/>
        </w:rPr>
        <w:t xml:space="preserve"> 2015/16 </w:t>
      </w:r>
      <w:r w:rsidRPr="00583560">
        <w:rPr>
          <w:rFonts w:ascii="Arial" w:hAnsi="Arial" w:cs="Arial"/>
        </w:rPr>
        <w:t>was as follows:</w:t>
      </w:r>
    </w:p>
    <w:tbl>
      <w:tblPr>
        <w:tblStyle w:val="TableGrid"/>
        <w:tblW w:w="0" w:type="auto"/>
        <w:tblInd w:w="108" w:type="dxa"/>
        <w:tblLook w:val="04A0" w:firstRow="1" w:lastRow="0" w:firstColumn="1" w:lastColumn="0" w:noHBand="0" w:noVBand="1"/>
      </w:tblPr>
      <w:tblGrid>
        <w:gridCol w:w="2977"/>
        <w:gridCol w:w="3119"/>
        <w:gridCol w:w="2976"/>
      </w:tblGrid>
      <w:tr w:rsidR="00583560" w:rsidTr="00583560">
        <w:tc>
          <w:tcPr>
            <w:tcW w:w="2977" w:type="dxa"/>
            <w:shd w:val="clear" w:color="auto" w:fill="E5B8B7" w:themeFill="accent2" w:themeFillTint="66"/>
          </w:tcPr>
          <w:p w:rsidR="00583560" w:rsidRDefault="00583560" w:rsidP="003D3C47">
            <w:pPr>
              <w:jc w:val="center"/>
              <w:rPr>
                <w:rFonts w:ascii="Arial" w:hAnsi="Arial" w:cs="Arial"/>
              </w:rPr>
            </w:pPr>
            <w:r>
              <w:rPr>
                <w:rFonts w:ascii="Arial" w:hAnsi="Arial" w:cs="Arial"/>
              </w:rPr>
              <w:t xml:space="preserve">Internal Legal </w:t>
            </w:r>
            <w:r w:rsidR="003D3C47">
              <w:rPr>
                <w:rFonts w:ascii="Arial" w:hAnsi="Arial" w:cs="Arial"/>
              </w:rPr>
              <w:t>C</w:t>
            </w:r>
            <w:r>
              <w:rPr>
                <w:rFonts w:ascii="Arial" w:hAnsi="Arial" w:cs="Arial"/>
              </w:rPr>
              <w:t>osts</w:t>
            </w:r>
          </w:p>
        </w:tc>
        <w:tc>
          <w:tcPr>
            <w:tcW w:w="3119" w:type="dxa"/>
            <w:shd w:val="clear" w:color="auto" w:fill="E5B8B7" w:themeFill="accent2" w:themeFillTint="66"/>
          </w:tcPr>
          <w:p w:rsidR="00583560" w:rsidRDefault="00583560" w:rsidP="003D3C47">
            <w:pPr>
              <w:jc w:val="center"/>
              <w:rPr>
                <w:rFonts w:ascii="Arial" w:hAnsi="Arial" w:cs="Arial"/>
              </w:rPr>
            </w:pPr>
            <w:r>
              <w:rPr>
                <w:rFonts w:ascii="Arial" w:hAnsi="Arial" w:cs="Arial"/>
              </w:rPr>
              <w:t xml:space="preserve">External Legal </w:t>
            </w:r>
            <w:r w:rsidR="003D3C47">
              <w:rPr>
                <w:rFonts w:ascii="Arial" w:hAnsi="Arial" w:cs="Arial"/>
              </w:rPr>
              <w:t>C</w:t>
            </w:r>
            <w:r>
              <w:rPr>
                <w:rFonts w:ascii="Arial" w:hAnsi="Arial" w:cs="Arial"/>
              </w:rPr>
              <w:t>osts</w:t>
            </w:r>
          </w:p>
        </w:tc>
        <w:tc>
          <w:tcPr>
            <w:tcW w:w="2976" w:type="dxa"/>
            <w:shd w:val="clear" w:color="auto" w:fill="E5B8B7" w:themeFill="accent2" w:themeFillTint="66"/>
          </w:tcPr>
          <w:p w:rsidR="00583560" w:rsidRDefault="00583560" w:rsidP="00583560">
            <w:pPr>
              <w:jc w:val="center"/>
              <w:rPr>
                <w:rFonts w:ascii="Arial" w:hAnsi="Arial" w:cs="Arial"/>
              </w:rPr>
            </w:pPr>
            <w:r>
              <w:rPr>
                <w:rFonts w:ascii="Arial" w:hAnsi="Arial" w:cs="Arial"/>
              </w:rPr>
              <w:t xml:space="preserve">Total </w:t>
            </w:r>
          </w:p>
        </w:tc>
      </w:tr>
      <w:tr w:rsidR="00583560" w:rsidTr="00583560">
        <w:tc>
          <w:tcPr>
            <w:tcW w:w="2977" w:type="dxa"/>
          </w:tcPr>
          <w:p w:rsidR="00583560" w:rsidRDefault="00D30428" w:rsidP="00583560">
            <w:pPr>
              <w:jc w:val="center"/>
              <w:rPr>
                <w:rFonts w:ascii="Arial" w:hAnsi="Arial" w:cs="Arial"/>
              </w:rPr>
            </w:pPr>
            <w:r>
              <w:rPr>
                <w:rFonts w:ascii="Arial" w:hAnsi="Arial" w:cs="Arial"/>
              </w:rPr>
              <w:t>£</w:t>
            </w:r>
            <w:r w:rsidR="00583560">
              <w:rPr>
                <w:rFonts w:ascii="Arial" w:hAnsi="Arial" w:cs="Arial"/>
              </w:rPr>
              <w:t>1,074,065</w:t>
            </w:r>
          </w:p>
        </w:tc>
        <w:tc>
          <w:tcPr>
            <w:tcW w:w="3119" w:type="dxa"/>
          </w:tcPr>
          <w:p w:rsidR="00583560" w:rsidRDefault="00D30428" w:rsidP="00B17CE0">
            <w:pPr>
              <w:jc w:val="center"/>
              <w:rPr>
                <w:rFonts w:ascii="Arial" w:hAnsi="Arial" w:cs="Arial"/>
              </w:rPr>
            </w:pPr>
            <w:r>
              <w:rPr>
                <w:rFonts w:ascii="Arial" w:hAnsi="Arial" w:cs="Arial"/>
              </w:rPr>
              <w:t>£</w:t>
            </w:r>
            <w:r w:rsidR="00583560">
              <w:rPr>
                <w:rFonts w:ascii="Arial" w:hAnsi="Arial" w:cs="Arial"/>
              </w:rPr>
              <w:t>5</w:t>
            </w:r>
            <w:r w:rsidR="00B17CE0">
              <w:rPr>
                <w:rFonts w:ascii="Arial" w:hAnsi="Arial" w:cs="Arial"/>
              </w:rPr>
              <w:t>21,275</w:t>
            </w:r>
          </w:p>
        </w:tc>
        <w:tc>
          <w:tcPr>
            <w:tcW w:w="2976" w:type="dxa"/>
          </w:tcPr>
          <w:p w:rsidR="00583560" w:rsidRDefault="00D30428" w:rsidP="00583560">
            <w:pPr>
              <w:jc w:val="center"/>
              <w:rPr>
                <w:rFonts w:ascii="Arial" w:hAnsi="Arial" w:cs="Arial"/>
              </w:rPr>
            </w:pPr>
            <w:r>
              <w:rPr>
                <w:rFonts w:ascii="Arial" w:hAnsi="Arial" w:cs="Arial"/>
              </w:rPr>
              <w:t>£</w:t>
            </w:r>
            <w:r w:rsidR="003D3C47">
              <w:rPr>
                <w:rFonts w:ascii="Arial" w:hAnsi="Arial" w:cs="Arial"/>
              </w:rPr>
              <w:t>1,595,340</w:t>
            </w:r>
          </w:p>
        </w:tc>
      </w:tr>
    </w:tbl>
    <w:p w:rsidR="00583560" w:rsidRDefault="00583560" w:rsidP="00107FFB">
      <w:pPr>
        <w:jc w:val="both"/>
        <w:rPr>
          <w:rFonts w:ascii="Arial" w:hAnsi="Arial" w:cs="Arial"/>
        </w:rPr>
      </w:pPr>
    </w:p>
    <w:p w:rsidR="00AF045C" w:rsidRDefault="00AF045C" w:rsidP="00107FFB">
      <w:pPr>
        <w:jc w:val="both"/>
        <w:rPr>
          <w:rFonts w:ascii="Arial" w:hAnsi="Arial" w:cs="Arial"/>
          <w:b/>
        </w:rPr>
      </w:pPr>
    </w:p>
    <w:p w:rsidR="00D30428" w:rsidRDefault="00D30428" w:rsidP="00107FFB">
      <w:pPr>
        <w:jc w:val="both"/>
        <w:rPr>
          <w:rFonts w:ascii="Arial" w:hAnsi="Arial" w:cs="Arial"/>
          <w:b/>
        </w:rPr>
      </w:pPr>
    </w:p>
    <w:p w:rsidR="0054622C" w:rsidRPr="009F237F" w:rsidRDefault="0054622C" w:rsidP="00107FFB">
      <w:pPr>
        <w:jc w:val="both"/>
        <w:rPr>
          <w:rFonts w:ascii="Arial" w:hAnsi="Arial" w:cs="Arial"/>
          <w:b/>
        </w:rPr>
      </w:pPr>
      <w:r w:rsidRPr="009F237F">
        <w:rPr>
          <w:rFonts w:ascii="Arial" w:hAnsi="Arial" w:cs="Arial"/>
          <w:b/>
        </w:rPr>
        <w:t xml:space="preserve">Legal Services </w:t>
      </w:r>
    </w:p>
    <w:tbl>
      <w:tblPr>
        <w:tblStyle w:val="TableGrid"/>
        <w:tblW w:w="0" w:type="auto"/>
        <w:tblInd w:w="108" w:type="dxa"/>
        <w:tblLook w:val="04A0" w:firstRow="1" w:lastRow="0" w:firstColumn="1" w:lastColumn="0" w:noHBand="0" w:noVBand="1"/>
      </w:tblPr>
      <w:tblGrid>
        <w:gridCol w:w="2977"/>
        <w:gridCol w:w="6095"/>
      </w:tblGrid>
      <w:tr w:rsidR="0054622C" w:rsidRPr="009F237F" w:rsidTr="009F237F">
        <w:tc>
          <w:tcPr>
            <w:tcW w:w="2977" w:type="dxa"/>
            <w:tcBorders>
              <w:right w:val="nil"/>
            </w:tcBorders>
            <w:shd w:val="clear" w:color="auto" w:fill="E5B8B7" w:themeFill="accent2" w:themeFillTint="66"/>
          </w:tcPr>
          <w:p w:rsidR="0054622C" w:rsidRPr="009F237F" w:rsidRDefault="009F237F" w:rsidP="002802D6">
            <w:pPr>
              <w:jc w:val="both"/>
              <w:rPr>
                <w:rFonts w:ascii="Arial" w:hAnsi="Arial" w:cs="Arial"/>
              </w:rPr>
            </w:pPr>
            <w:r w:rsidRPr="009F237F">
              <w:rPr>
                <w:rFonts w:ascii="Arial" w:hAnsi="Arial" w:cs="Arial"/>
              </w:rPr>
              <w:lastRenderedPageBreak/>
              <w:t xml:space="preserve">Name  </w:t>
            </w:r>
          </w:p>
        </w:tc>
        <w:tc>
          <w:tcPr>
            <w:tcW w:w="6095" w:type="dxa"/>
            <w:tcBorders>
              <w:left w:val="nil"/>
            </w:tcBorders>
            <w:shd w:val="clear" w:color="auto" w:fill="E5B8B7" w:themeFill="accent2" w:themeFillTint="66"/>
          </w:tcPr>
          <w:p w:rsidR="0054622C" w:rsidRPr="009F237F" w:rsidRDefault="009F237F" w:rsidP="002802D6">
            <w:pPr>
              <w:jc w:val="both"/>
              <w:rPr>
                <w:rFonts w:ascii="Arial" w:hAnsi="Arial" w:cs="Arial"/>
              </w:rPr>
            </w:pPr>
            <w:r w:rsidRPr="009F237F">
              <w:rPr>
                <w:rFonts w:ascii="Arial" w:hAnsi="Arial" w:cs="Arial"/>
              </w:rPr>
              <w:t>Designation</w:t>
            </w:r>
          </w:p>
        </w:tc>
      </w:tr>
      <w:tr w:rsidR="0054622C" w:rsidRPr="009F237F" w:rsidTr="002802D6">
        <w:tc>
          <w:tcPr>
            <w:tcW w:w="2977" w:type="dxa"/>
            <w:tcBorders>
              <w:right w:val="nil"/>
            </w:tcBorders>
          </w:tcPr>
          <w:p w:rsidR="0054622C" w:rsidRPr="009F237F" w:rsidRDefault="0054622C" w:rsidP="002802D6">
            <w:pPr>
              <w:jc w:val="both"/>
              <w:rPr>
                <w:rFonts w:ascii="Arial" w:hAnsi="Arial" w:cs="Arial"/>
              </w:rPr>
            </w:pPr>
            <w:r w:rsidRPr="009F237F">
              <w:rPr>
                <w:rFonts w:ascii="Arial" w:hAnsi="Arial" w:cs="Arial"/>
              </w:rPr>
              <w:t>Stewart Fraser</w:t>
            </w:r>
          </w:p>
        </w:tc>
        <w:tc>
          <w:tcPr>
            <w:tcW w:w="6095" w:type="dxa"/>
            <w:tcBorders>
              <w:left w:val="nil"/>
            </w:tcBorders>
          </w:tcPr>
          <w:p w:rsidR="0054622C" w:rsidRPr="009F237F" w:rsidRDefault="0054622C" w:rsidP="002802D6">
            <w:pPr>
              <w:jc w:val="both"/>
              <w:rPr>
                <w:rFonts w:ascii="Arial" w:hAnsi="Arial" w:cs="Arial"/>
              </w:rPr>
            </w:pPr>
            <w:r w:rsidRPr="009F237F">
              <w:rPr>
                <w:rFonts w:ascii="Arial" w:hAnsi="Arial" w:cs="Arial"/>
              </w:rPr>
              <w:t>Head of Corporate Governance</w:t>
            </w:r>
          </w:p>
        </w:tc>
      </w:tr>
    </w:tbl>
    <w:p w:rsidR="009F237F" w:rsidRPr="009F237F" w:rsidRDefault="009F237F" w:rsidP="009F237F">
      <w:pPr>
        <w:spacing w:after="0" w:line="240" w:lineRule="auto"/>
        <w:contextualSpacing/>
        <w:jc w:val="both"/>
        <w:rPr>
          <w:rFonts w:ascii="Arial" w:hAnsi="Arial" w:cs="Arial"/>
          <w:b/>
        </w:rPr>
      </w:pPr>
    </w:p>
    <w:p w:rsidR="0054622C" w:rsidRPr="009F237F" w:rsidRDefault="0054622C" w:rsidP="00107FFB">
      <w:pPr>
        <w:jc w:val="both"/>
        <w:rPr>
          <w:rFonts w:ascii="Arial" w:hAnsi="Arial" w:cs="Arial"/>
          <w:b/>
        </w:rPr>
      </w:pPr>
      <w:r w:rsidRPr="009F237F">
        <w:rPr>
          <w:rFonts w:ascii="Arial" w:hAnsi="Arial" w:cs="Arial"/>
          <w:b/>
        </w:rPr>
        <w:t xml:space="preserve">Review Team </w:t>
      </w:r>
    </w:p>
    <w:tbl>
      <w:tblPr>
        <w:tblStyle w:val="TableGrid"/>
        <w:tblW w:w="0" w:type="auto"/>
        <w:tblInd w:w="108" w:type="dxa"/>
        <w:tblLook w:val="04A0" w:firstRow="1" w:lastRow="0" w:firstColumn="1" w:lastColumn="0" w:noHBand="0" w:noVBand="1"/>
      </w:tblPr>
      <w:tblGrid>
        <w:gridCol w:w="2977"/>
        <w:gridCol w:w="6095"/>
      </w:tblGrid>
      <w:tr w:rsidR="0054622C" w:rsidRPr="009F237F" w:rsidTr="0054622C">
        <w:tc>
          <w:tcPr>
            <w:tcW w:w="2977" w:type="dxa"/>
            <w:tcBorders>
              <w:right w:val="nil"/>
            </w:tcBorders>
            <w:shd w:val="clear" w:color="auto" w:fill="E5B8B7" w:themeFill="accent2" w:themeFillTint="66"/>
          </w:tcPr>
          <w:p w:rsidR="0054622C" w:rsidRPr="009F237F" w:rsidRDefault="0054622C" w:rsidP="00107FFB">
            <w:pPr>
              <w:jc w:val="both"/>
              <w:rPr>
                <w:rFonts w:ascii="Arial" w:hAnsi="Arial" w:cs="Arial"/>
              </w:rPr>
            </w:pPr>
            <w:r w:rsidRPr="009F237F">
              <w:rPr>
                <w:rFonts w:ascii="Arial" w:hAnsi="Arial" w:cs="Arial"/>
              </w:rPr>
              <w:t xml:space="preserve">Name </w:t>
            </w:r>
          </w:p>
        </w:tc>
        <w:tc>
          <w:tcPr>
            <w:tcW w:w="6095" w:type="dxa"/>
            <w:tcBorders>
              <w:left w:val="nil"/>
            </w:tcBorders>
            <w:shd w:val="clear" w:color="auto" w:fill="E5B8B7" w:themeFill="accent2" w:themeFillTint="66"/>
          </w:tcPr>
          <w:p w:rsidR="0054622C" w:rsidRPr="009F237F" w:rsidRDefault="0054622C" w:rsidP="00107FFB">
            <w:pPr>
              <w:jc w:val="both"/>
              <w:rPr>
                <w:rFonts w:ascii="Arial" w:hAnsi="Arial" w:cs="Arial"/>
              </w:rPr>
            </w:pPr>
            <w:r w:rsidRPr="009F237F">
              <w:rPr>
                <w:rFonts w:ascii="Arial" w:hAnsi="Arial" w:cs="Arial"/>
              </w:rPr>
              <w:t xml:space="preserve">Designation </w:t>
            </w:r>
          </w:p>
        </w:tc>
      </w:tr>
      <w:tr w:rsidR="0054622C" w:rsidRPr="009F237F" w:rsidTr="0054622C">
        <w:tc>
          <w:tcPr>
            <w:tcW w:w="2977" w:type="dxa"/>
            <w:tcBorders>
              <w:right w:val="nil"/>
            </w:tcBorders>
          </w:tcPr>
          <w:p w:rsidR="0054622C" w:rsidRPr="009F237F" w:rsidRDefault="0054622C" w:rsidP="0054622C">
            <w:pPr>
              <w:rPr>
                <w:rFonts w:ascii="Arial" w:hAnsi="Arial" w:cs="Arial"/>
                <w:lang w:eastAsia="en-GB"/>
              </w:rPr>
            </w:pPr>
            <w:r w:rsidRPr="009F237F">
              <w:rPr>
                <w:rFonts w:ascii="Arial" w:hAnsi="Arial" w:cs="Arial"/>
                <w:lang w:eastAsia="en-GB"/>
              </w:rPr>
              <w:t>Karen Ralston</w:t>
            </w:r>
          </w:p>
        </w:tc>
        <w:tc>
          <w:tcPr>
            <w:tcW w:w="6095" w:type="dxa"/>
            <w:tcBorders>
              <w:left w:val="nil"/>
            </w:tcBorders>
          </w:tcPr>
          <w:p w:rsidR="0054622C" w:rsidRPr="009F237F" w:rsidRDefault="0054622C" w:rsidP="009F237F">
            <w:pPr>
              <w:rPr>
                <w:rFonts w:ascii="Arial" w:hAnsi="Arial" w:cs="Arial"/>
                <w:lang w:eastAsia="en-GB"/>
              </w:rPr>
            </w:pPr>
            <w:r w:rsidRPr="009F237F">
              <w:rPr>
                <w:rFonts w:ascii="Arial" w:hAnsi="Arial" w:cs="Arial"/>
                <w:lang w:eastAsia="en-GB"/>
              </w:rPr>
              <w:t>Area Care and Learning Manager (South)</w:t>
            </w:r>
          </w:p>
        </w:tc>
      </w:tr>
      <w:tr w:rsidR="0054622C" w:rsidRPr="009F237F" w:rsidTr="0054622C">
        <w:tc>
          <w:tcPr>
            <w:tcW w:w="2977" w:type="dxa"/>
            <w:tcBorders>
              <w:right w:val="nil"/>
            </w:tcBorders>
          </w:tcPr>
          <w:p w:rsidR="0054622C" w:rsidRPr="009F237F" w:rsidRDefault="0054622C" w:rsidP="00107FFB">
            <w:pPr>
              <w:jc w:val="both"/>
              <w:rPr>
                <w:rFonts w:ascii="Arial" w:hAnsi="Arial" w:cs="Arial"/>
              </w:rPr>
            </w:pPr>
            <w:r w:rsidRPr="009F237F">
              <w:rPr>
                <w:rFonts w:ascii="Arial" w:hAnsi="Arial" w:cs="Arial"/>
              </w:rPr>
              <w:t>Kenneth Forbes</w:t>
            </w:r>
          </w:p>
        </w:tc>
        <w:tc>
          <w:tcPr>
            <w:tcW w:w="6095" w:type="dxa"/>
            <w:tcBorders>
              <w:left w:val="nil"/>
            </w:tcBorders>
          </w:tcPr>
          <w:p w:rsidR="0054622C" w:rsidRPr="009F237F" w:rsidRDefault="0054622C" w:rsidP="00107FFB">
            <w:pPr>
              <w:jc w:val="both"/>
              <w:rPr>
                <w:rFonts w:ascii="Arial" w:hAnsi="Arial" w:cs="Arial"/>
              </w:rPr>
            </w:pPr>
            <w:r w:rsidRPr="009F237F">
              <w:rPr>
                <w:rFonts w:ascii="Arial" w:hAnsi="Arial" w:cs="Arial"/>
              </w:rPr>
              <w:t>Property Manager (Estates), Development &amp; Infrastructure</w:t>
            </w:r>
          </w:p>
        </w:tc>
      </w:tr>
      <w:tr w:rsidR="0054622C" w:rsidRPr="009F237F" w:rsidTr="0054622C">
        <w:tc>
          <w:tcPr>
            <w:tcW w:w="2977" w:type="dxa"/>
            <w:tcBorders>
              <w:right w:val="nil"/>
            </w:tcBorders>
          </w:tcPr>
          <w:p w:rsidR="0054622C" w:rsidRPr="009F237F" w:rsidRDefault="0054622C" w:rsidP="00107FFB">
            <w:pPr>
              <w:jc w:val="both"/>
              <w:rPr>
                <w:rFonts w:ascii="Arial" w:hAnsi="Arial" w:cs="Arial"/>
              </w:rPr>
            </w:pPr>
            <w:r w:rsidRPr="009F237F">
              <w:rPr>
                <w:rFonts w:ascii="Arial" w:hAnsi="Arial" w:cs="Arial"/>
              </w:rPr>
              <w:t xml:space="preserve">Gordon Morrison </w:t>
            </w:r>
          </w:p>
        </w:tc>
        <w:tc>
          <w:tcPr>
            <w:tcW w:w="6095" w:type="dxa"/>
            <w:tcBorders>
              <w:left w:val="nil"/>
            </w:tcBorders>
          </w:tcPr>
          <w:p w:rsidR="0054622C" w:rsidRPr="009F237F" w:rsidRDefault="0054622C" w:rsidP="00107FFB">
            <w:pPr>
              <w:jc w:val="both"/>
              <w:rPr>
                <w:rFonts w:ascii="Arial" w:hAnsi="Arial" w:cs="Arial"/>
              </w:rPr>
            </w:pPr>
            <w:r w:rsidRPr="009F237F">
              <w:rPr>
                <w:rFonts w:ascii="Arial" w:hAnsi="Arial" w:cs="Arial"/>
              </w:rPr>
              <w:t xml:space="preserve">Parliamentary Officer </w:t>
            </w:r>
          </w:p>
        </w:tc>
      </w:tr>
      <w:tr w:rsidR="0054622C" w:rsidRPr="009F237F" w:rsidTr="0054622C">
        <w:tc>
          <w:tcPr>
            <w:tcW w:w="2977" w:type="dxa"/>
            <w:tcBorders>
              <w:right w:val="nil"/>
            </w:tcBorders>
          </w:tcPr>
          <w:p w:rsidR="0054622C" w:rsidRPr="009F237F" w:rsidRDefault="009F237F" w:rsidP="00107FFB">
            <w:pPr>
              <w:jc w:val="both"/>
              <w:rPr>
                <w:rFonts w:ascii="Arial" w:hAnsi="Arial" w:cs="Arial"/>
              </w:rPr>
            </w:pPr>
            <w:r w:rsidRPr="009F237F">
              <w:rPr>
                <w:rFonts w:ascii="Arial" w:hAnsi="Arial" w:cs="Arial"/>
              </w:rPr>
              <w:t xml:space="preserve">Rikki Selkirk </w:t>
            </w:r>
          </w:p>
        </w:tc>
        <w:tc>
          <w:tcPr>
            <w:tcW w:w="6095" w:type="dxa"/>
            <w:tcBorders>
              <w:left w:val="nil"/>
            </w:tcBorders>
          </w:tcPr>
          <w:p w:rsidR="0054622C" w:rsidRPr="009F237F" w:rsidRDefault="009F237F" w:rsidP="00107FFB">
            <w:pPr>
              <w:jc w:val="both"/>
              <w:rPr>
                <w:rFonts w:ascii="Arial" w:hAnsi="Arial" w:cs="Arial"/>
              </w:rPr>
            </w:pPr>
            <w:r w:rsidRPr="009F237F">
              <w:rPr>
                <w:rFonts w:ascii="Arial" w:hAnsi="Arial" w:cs="Arial"/>
              </w:rPr>
              <w:t xml:space="preserve">Union Representative </w:t>
            </w:r>
          </w:p>
        </w:tc>
      </w:tr>
      <w:tr w:rsidR="0054622C" w:rsidRPr="009F237F" w:rsidTr="0054622C">
        <w:tc>
          <w:tcPr>
            <w:tcW w:w="2977" w:type="dxa"/>
            <w:tcBorders>
              <w:right w:val="nil"/>
            </w:tcBorders>
          </w:tcPr>
          <w:p w:rsidR="0054622C" w:rsidRPr="009F237F" w:rsidRDefault="009F237F" w:rsidP="00107FFB">
            <w:pPr>
              <w:jc w:val="both"/>
              <w:rPr>
                <w:rFonts w:ascii="Arial" w:hAnsi="Arial" w:cs="Arial"/>
              </w:rPr>
            </w:pPr>
            <w:r w:rsidRPr="009F237F">
              <w:rPr>
                <w:rFonts w:ascii="Arial" w:hAnsi="Arial" w:cs="Arial"/>
              </w:rPr>
              <w:t xml:space="preserve">Councillor  Carolyn Caddick </w:t>
            </w:r>
          </w:p>
        </w:tc>
        <w:tc>
          <w:tcPr>
            <w:tcW w:w="6095" w:type="dxa"/>
            <w:tcBorders>
              <w:left w:val="nil"/>
            </w:tcBorders>
          </w:tcPr>
          <w:p w:rsidR="0054622C" w:rsidRPr="009F237F" w:rsidRDefault="009F237F" w:rsidP="00107FFB">
            <w:pPr>
              <w:jc w:val="both"/>
              <w:rPr>
                <w:rFonts w:ascii="Arial" w:hAnsi="Arial" w:cs="Arial"/>
              </w:rPr>
            </w:pPr>
            <w:r w:rsidRPr="009F237F">
              <w:rPr>
                <w:rFonts w:ascii="Arial" w:hAnsi="Arial" w:cs="Arial"/>
              </w:rPr>
              <w:t xml:space="preserve">Redesign Board Member </w:t>
            </w:r>
          </w:p>
        </w:tc>
      </w:tr>
      <w:tr w:rsidR="0054622C" w:rsidRPr="009F237F" w:rsidTr="0054622C">
        <w:tc>
          <w:tcPr>
            <w:tcW w:w="2977" w:type="dxa"/>
            <w:tcBorders>
              <w:right w:val="nil"/>
            </w:tcBorders>
          </w:tcPr>
          <w:p w:rsidR="0054622C" w:rsidRPr="009F237F" w:rsidRDefault="009F237F" w:rsidP="00107FFB">
            <w:pPr>
              <w:jc w:val="both"/>
              <w:rPr>
                <w:rFonts w:ascii="Arial" w:hAnsi="Arial" w:cs="Arial"/>
              </w:rPr>
            </w:pPr>
            <w:r w:rsidRPr="009F237F">
              <w:rPr>
                <w:rFonts w:ascii="Arial" w:hAnsi="Arial" w:cs="Arial"/>
              </w:rPr>
              <w:t xml:space="preserve">Councillor Callum Smith </w:t>
            </w:r>
          </w:p>
        </w:tc>
        <w:tc>
          <w:tcPr>
            <w:tcW w:w="6095" w:type="dxa"/>
            <w:tcBorders>
              <w:left w:val="nil"/>
            </w:tcBorders>
          </w:tcPr>
          <w:p w:rsidR="0054622C" w:rsidRPr="009F237F" w:rsidRDefault="009F237F" w:rsidP="00107FFB">
            <w:pPr>
              <w:jc w:val="both"/>
              <w:rPr>
                <w:rFonts w:ascii="Arial" w:hAnsi="Arial" w:cs="Arial"/>
              </w:rPr>
            </w:pPr>
            <w:r w:rsidRPr="009F237F">
              <w:rPr>
                <w:rFonts w:ascii="Arial" w:hAnsi="Arial" w:cs="Arial"/>
              </w:rPr>
              <w:t>Redesign Board Member</w:t>
            </w:r>
          </w:p>
        </w:tc>
      </w:tr>
    </w:tbl>
    <w:p w:rsidR="0054622C" w:rsidRPr="009F237F" w:rsidRDefault="0054622C" w:rsidP="009F237F">
      <w:pPr>
        <w:spacing w:line="240" w:lineRule="auto"/>
        <w:contextualSpacing/>
        <w:jc w:val="both"/>
        <w:rPr>
          <w:rFonts w:ascii="Arial" w:hAnsi="Arial" w:cs="Arial"/>
        </w:rPr>
      </w:pPr>
    </w:p>
    <w:p w:rsidR="009F237F" w:rsidRPr="009F237F" w:rsidRDefault="00B4226A" w:rsidP="009F237F">
      <w:pPr>
        <w:spacing w:line="240" w:lineRule="auto"/>
        <w:contextualSpacing/>
        <w:jc w:val="both"/>
        <w:rPr>
          <w:rFonts w:ascii="Arial" w:hAnsi="Arial" w:cs="Arial"/>
          <w:b/>
        </w:rPr>
      </w:pPr>
      <w:r>
        <w:rPr>
          <w:rFonts w:ascii="Arial" w:hAnsi="Arial" w:cs="Arial"/>
          <w:b/>
        </w:rPr>
        <w:t>Supported by</w:t>
      </w:r>
    </w:p>
    <w:p w:rsidR="0054622C" w:rsidRPr="009F237F" w:rsidRDefault="0054622C" w:rsidP="009F237F">
      <w:pPr>
        <w:spacing w:after="0" w:line="240" w:lineRule="auto"/>
        <w:contextualSpacing/>
        <w:jc w:val="both"/>
        <w:rPr>
          <w:rFonts w:ascii="Arial" w:hAnsi="Arial" w:cs="Arial"/>
        </w:rPr>
      </w:pPr>
    </w:p>
    <w:p w:rsidR="009F237F" w:rsidRPr="009F237F" w:rsidRDefault="009F237F" w:rsidP="00107FFB">
      <w:pPr>
        <w:jc w:val="both"/>
        <w:rPr>
          <w:rFonts w:ascii="Arial" w:hAnsi="Arial" w:cs="Arial"/>
        </w:rPr>
      </w:pPr>
      <w:r w:rsidRPr="009F237F">
        <w:rPr>
          <w:rFonts w:ascii="Arial" w:hAnsi="Arial" w:cs="Arial"/>
        </w:rPr>
        <w:t xml:space="preserve">Stuart Black, Director of Infrastructure and Development </w:t>
      </w:r>
    </w:p>
    <w:p w:rsidR="00C96890" w:rsidRDefault="009F237F" w:rsidP="00107FFB">
      <w:pPr>
        <w:jc w:val="both"/>
        <w:rPr>
          <w:rFonts w:ascii="Arial" w:hAnsi="Arial" w:cs="Arial"/>
          <w:b/>
        </w:rPr>
      </w:pPr>
      <w:r w:rsidRPr="009F237F">
        <w:rPr>
          <w:rFonts w:ascii="Arial" w:hAnsi="Arial" w:cs="Arial"/>
          <w:b/>
        </w:rPr>
        <w:t>Objectives</w:t>
      </w:r>
    </w:p>
    <w:p w:rsidR="00B4226A" w:rsidRDefault="00B4226A" w:rsidP="00107FFB">
      <w:pPr>
        <w:jc w:val="both"/>
        <w:rPr>
          <w:rFonts w:ascii="Arial" w:hAnsi="Arial" w:cs="Arial"/>
        </w:rPr>
      </w:pPr>
      <w:r w:rsidRPr="00B4226A">
        <w:rPr>
          <w:rFonts w:ascii="Arial" w:hAnsi="Arial" w:cs="Arial"/>
        </w:rPr>
        <w:t>The objectives of the Peer Review are:</w:t>
      </w:r>
    </w:p>
    <w:p w:rsidR="009F237F" w:rsidRDefault="00583560" w:rsidP="00B4226A">
      <w:pPr>
        <w:pStyle w:val="ListParagraph"/>
        <w:numPr>
          <w:ilvl w:val="0"/>
          <w:numId w:val="5"/>
        </w:numPr>
        <w:jc w:val="both"/>
        <w:rPr>
          <w:rFonts w:ascii="Arial" w:hAnsi="Arial" w:cs="Arial"/>
        </w:rPr>
      </w:pPr>
      <w:r w:rsidRPr="00B4226A">
        <w:rPr>
          <w:rFonts w:ascii="Arial" w:hAnsi="Arial" w:cs="Arial"/>
        </w:rPr>
        <w:t>Review expenditure on external l</w:t>
      </w:r>
      <w:r w:rsidR="00AF045C" w:rsidRPr="00B4226A">
        <w:rPr>
          <w:rFonts w:ascii="Arial" w:hAnsi="Arial" w:cs="Arial"/>
        </w:rPr>
        <w:t>egal s</w:t>
      </w:r>
      <w:r w:rsidRPr="00B4226A">
        <w:rPr>
          <w:rFonts w:ascii="Arial" w:hAnsi="Arial" w:cs="Arial"/>
        </w:rPr>
        <w:t>ervices by type of activity and by Service</w:t>
      </w:r>
      <w:r w:rsidR="00D30428" w:rsidRPr="00B4226A">
        <w:rPr>
          <w:rFonts w:ascii="Arial" w:hAnsi="Arial" w:cs="Arial"/>
        </w:rPr>
        <w:t>;</w:t>
      </w:r>
      <w:r w:rsidRPr="00B4226A">
        <w:rPr>
          <w:rFonts w:ascii="Arial" w:hAnsi="Arial" w:cs="Arial"/>
        </w:rPr>
        <w:t xml:space="preserve"> </w:t>
      </w:r>
    </w:p>
    <w:p w:rsidR="00D30428" w:rsidRDefault="00D30428" w:rsidP="00B4226A">
      <w:pPr>
        <w:pStyle w:val="ListParagraph"/>
        <w:numPr>
          <w:ilvl w:val="0"/>
          <w:numId w:val="5"/>
        </w:numPr>
        <w:jc w:val="both"/>
        <w:rPr>
          <w:rFonts w:ascii="Arial" w:hAnsi="Arial" w:cs="Arial"/>
        </w:rPr>
      </w:pPr>
      <w:r w:rsidRPr="00B4226A">
        <w:rPr>
          <w:rFonts w:ascii="Arial" w:hAnsi="Arial" w:cs="Arial"/>
        </w:rPr>
        <w:t>Assess process for obtaining external legal services;</w:t>
      </w:r>
    </w:p>
    <w:p w:rsidR="00081907" w:rsidRDefault="00081907" w:rsidP="00B4226A">
      <w:pPr>
        <w:pStyle w:val="ListParagraph"/>
        <w:numPr>
          <w:ilvl w:val="0"/>
          <w:numId w:val="5"/>
        </w:numPr>
        <w:ind w:left="709" w:hanging="349"/>
        <w:jc w:val="both"/>
        <w:rPr>
          <w:rFonts w:ascii="Arial" w:hAnsi="Arial" w:cs="Arial"/>
        </w:rPr>
      </w:pPr>
      <w:r w:rsidRPr="00B4226A">
        <w:rPr>
          <w:rFonts w:ascii="Arial" w:hAnsi="Arial" w:cs="Arial"/>
        </w:rPr>
        <w:t xml:space="preserve">Review current status of agreements for procured legal services and any joint </w:t>
      </w:r>
      <w:r w:rsidRPr="00B4226A">
        <w:rPr>
          <w:rFonts w:ascii="Arial" w:hAnsi="Arial" w:cs="Arial"/>
        </w:rPr>
        <w:tab/>
        <w:t>arrangements</w:t>
      </w:r>
      <w:r w:rsidR="00D30428" w:rsidRPr="00B4226A">
        <w:rPr>
          <w:rFonts w:ascii="Arial" w:hAnsi="Arial" w:cs="Arial"/>
        </w:rPr>
        <w:t>;</w:t>
      </w:r>
    </w:p>
    <w:p w:rsidR="00583560" w:rsidRDefault="00AF045C" w:rsidP="00B4226A">
      <w:pPr>
        <w:pStyle w:val="ListParagraph"/>
        <w:numPr>
          <w:ilvl w:val="0"/>
          <w:numId w:val="5"/>
        </w:numPr>
        <w:ind w:left="709" w:hanging="349"/>
        <w:jc w:val="both"/>
        <w:rPr>
          <w:rFonts w:ascii="Arial" w:hAnsi="Arial" w:cs="Arial"/>
        </w:rPr>
      </w:pPr>
      <w:r w:rsidRPr="00B4226A">
        <w:rPr>
          <w:rFonts w:ascii="Arial" w:hAnsi="Arial" w:cs="Arial"/>
        </w:rPr>
        <w:t>Determine where the gaps are in specialised in house expertise</w:t>
      </w:r>
      <w:r w:rsidR="00B4226A">
        <w:rPr>
          <w:rFonts w:ascii="Arial" w:hAnsi="Arial" w:cs="Arial"/>
        </w:rPr>
        <w:t>;</w:t>
      </w:r>
      <w:r w:rsidRPr="00B4226A">
        <w:rPr>
          <w:rFonts w:ascii="Arial" w:hAnsi="Arial" w:cs="Arial"/>
        </w:rPr>
        <w:t xml:space="preserve"> </w:t>
      </w:r>
    </w:p>
    <w:p w:rsidR="00AF045C" w:rsidRDefault="00AF045C" w:rsidP="00B4226A">
      <w:pPr>
        <w:pStyle w:val="ListParagraph"/>
        <w:numPr>
          <w:ilvl w:val="0"/>
          <w:numId w:val="5"/>
        </w:numPr>
        <w:ind w:left="709" w:hanging="349"/>
        <w:jc w:val="both"/>
        <w:rPr>
          <w:rFonts w:ascii="Arial" w:hAnsi="Arial" w:cs="Arial"/>
        </w:rPr>
      </w:pPr>
      <w:r w:rsidRPr="00B4226A">
        <w:rPr>
          <w:rFonts w:ascii="Arial" w:hAnsi="Arial" w:cs="Arial"/>
        </w:rPr>
        <w:t>Consider the best option</w:t>
      </w:r>
      <w:r w:rsidR="00D30428" w:rsidRPr="00B4226A">
        <w:rPr>
          <w:rFonts w:ascii="Arial" w:hAnsi="Arial" w:cs="Arial"/>
        </w:rPr>
        <w:t>(s)</w:t>
      </w:r>
      <w:r w:rsidRPr="00B4226A">
        <w:rPr>
          <w:rFonts w:ascii="Arial" w:hAnsi="Arial" w:cs="Arial"/>
        </w:rPr>
        <w:t xml:space="preserve"> of service delivery against the 10 options as set out in the </w:t>
      </w:r>
      <w:r w:rsidRPr="00B4226A">
        <w:rPr>
          <w:rFonts w:ascii="Arial" w:hAnsi="Arial" w:cs="Arial"/>
        </w:rPr>
        <w:tab/>
        <w:t>peer review framework</w:t>
      </w:r>
      <w:r w:rsidR="00B4226A">
        <w:rPr>
          <w:rFonts w:ascii="Arial" w:hAnsi="Arial" w:cs="Arial"/>
        </w:rPr>
        <w:t>; and</w:t>
      </w:r>
    </w:p>
    <w:p w:rsidR="00081907" w:rsidRPr="00B4226A" w:rsidRDefault="002E1F9F" w:rsidP="00B4226A">
      <w:pPr>
        <w:pStyle w:val="ListParagraph"/>
        <w:numPr>
          <w:ilvl w:val="0"/>
          <w:numId w:val="5"/>
        </w:numPr>
        <w:ind w:left="709" w:hanging="349"/>
        <w:jc w:val="both"/>
        <w:rPr>
          <w:rFonts w:ascii="Arial" w:hAnsi="Arial" w:cs="Arial"/>
        </w:rPr>
      </w:pPr>
      <w:r w:rsidRPr="00B4226A">
        <w:rPr>
          <w:rFonts w:ascii="Arial" w:hAnsi="Arial" w:cs="Arial"/>
        </w:rPr>
        <w:t>Recommend the preferred option</w:t>
      </w:r>
      <w:r w:rsidR="00B4226A" w:rsidRPr="00B4226A">
        <w:rPr>
          <w:rFonts w:ascii="Arial" w:hAnsi="Arial" w:cs="Arial"/>
        </w:rPr>
        <w:t>(s)</w:t>
      </w:r>
      <w:r w:rsidR="00B4226A">
        <w:rPr>
          <w:rFonts w:ascii="Arial" w:hAnsi="Arial" w:cs="Arial"/>
        </w:rPr>
        <w:t>.</w:t>
      </w:r>
    </w:p>
    <w:p w:rsidR="009F237F" w:rsidRPr="009F237F" w:rsidRDefault="009F237F" w:rsidP="00107FFB">
      <w:pPr>
        <w:jc w:val="both"/>
        <w:rPr>
          <w:rFonts w:ascii="Arial" w:hAnsi="Arial" w:cs="Arial"/>
          <w:b/>
        </w:rPr>
      </w:pPr>
      <w:r w:rsidRPr="009F237F">
        <w:rPr>
          <w:rFonts w:ascii="Arial" w:hAnsi="Arial" w:cs="Arial"/>
          <w:b/>
        </w:rPr>
        <w:t xml:space="preserve">What will not be included </w:t>
      </w:r>
    </w:p>
    <w:p w:rsidR="009F237F" w:rsidRDefault="00E017BC" w:rsidP="00107FFB">
      <w:pPr>
        <w:jc w:val="both"/>
        <w:rPr>
          <w:rFonts w:ascii="Arial" w:hAnsi="Arial" w:cs="Arial"/>
        </w:rPr>
      </w:pPr>
      <w:r>
        <w:rPr>
          <w:rFonts w:ascii="Arial" w:hAnsi="Arial" w:cs="Arial"/>
        </w:rPr>
        <w:t xml:space="preserve">It is </w:t>
      </w:r>
      <w:r w:rsidR="00B4226A">
        <w:rPr>
          <w:rFonts w:ascii="Arial" w:hAnsi="Arial" w:cs="Arial"/>
        </w:rPr>
        <w:t>proposed that the following be excluded from the scope</w:t>
      </w:r>
    </w:p>
    <w:p w:rsidR="00B4226A" w:rsidRDefault="00B4226A" w:rsidP="00B4226A">
      <w:pPr>
        <w:pStyle w:val="ListParagraph"/>
        <w:numPr>
          <w:ilvl w:val="0"/>
          <w:numId w:val="4"/>
        </w:numPr>
        <w:jc w:val="both"/>
        <w:rPr>
          <w:rFonts w:ascii="Arial" w:hAnsi="Arial" w:cs="Arial"/>
        </w:rPr>
      </w:pPr>
      <w:r>
        <w:rPr>
          <w:rFonts w:ascii="Arial" w:hAnsi="Arial" w:cs="Arial"/>
        </w:rPr>
        <w:t>Counsel Opinion and Judicial Review;</w:t>
      </w:r>
    </w:p>
    <w:p w:rsidR="00B4226A" w:rsidRDefault="00B4226A" w:rsidP="00B4226A">
      <w:pPr>
        <w:pStyle w:val="ListParagraph"/>
        <w:numPr>
          <w:ilvl w:val="0"/>
          <w:numId w:val="4"/>
        </w:numPr>
        <w:jc w:val="both"/>
        <w:rPr>
          <w:rFonts w:ascii="Arial" w:hAnsi="Arial" w:cs="Arial"/>
        </w:rPr>
      </w:pPr>
      <w:r>
        <w:rPr>
          <w:rFonts w:ascii="Arial" w:hAnsi="Arial" w:cs="Arial"/>
        </w:rPr>
        <w:t xml:space="preserve">Fees such as Curator Ad Litem, Permanence Orders, Guardianship Orders; </w:t>
      </w:r>
    </w:p>
    <w:p w:rsidR="00B4226A" w:rsidRPr="00B4226A" w:rsidRDefault="00B4226A" w:rsidP="00B4226A">
      <w:pPr>
        <w:pStyle w:val="ListParagraph"/>
        <w:numPr>
          <w:ilvl w:val="0"/>
          <w:numId w:val="4"/>
        </w:numPr>
        <w:jc w:val="both"/>
        <w:rPr>
          <w:rFonts w:ascii="Arial" w:hAnsi="Arial" w:cs="Arial"/>
        </w:rPr>
      </w:pPr>
      <w:r>
        <w:rPr>
          <w:rFonts w:ascii="Arial" w:hAnsi="Arial" w:cs="Arial"/>
        </w:rPr>
        <w:t xml:space="preserve">Court Appearances in geographical areas where there are no in house legal staff (Caithness, Fort William, Portree);  </w:t>
      </w:r>
    </w:p>
    <w:p w:rsidR="009F237F" w:rsidRPr="009F237F" w:rsidRDefault="009F237F" w:rsidP="00107FFB">
      <w:pPr>
        <w:jc w:val="both"/>
        <w:rPr>
          <w:rFonts w:ascii="Arial" w:hAnsi="Arial" w:cs="Arial"/>
          <w:b/>
        </w:rPr>
      </w:pPr>
      <w:r w:rsidRPr="009F237F">
        <w:rPr>
          <w:rFonts w:ascii="Arial" w:hAnsi="Arial" w:cs="Arial"/>
          <w:b/>
        </w:rPr>
        <w:t>Methods that will be used to undertake this review</w:t>
      </w:r>
    </w:p>
    <w:p w:rsidR="00AF045C" w:rsidRPr="00AF045C" w:rsidRDefault="00AF045C" w:rsidP="00AF045C">
      <w:pPr>
        <w:spacing w:after="0" w:line="240" w:lineRule="auto"/>
        <w:contextualSpacing/>
        <w:jc w:val="both"/>
        <w:rPr>
          <w:rFonts w:ascii="Arial" w:hAnsi="Arial" w:cs="Arial"/>
        </w:rPr>
      </w:pPr>
      <w:r>
        <w:t>1.</w:t>
      </w:r>
      <w:r>
        <w:tab/>
      </w:r>
      <w:r w:rsidRPr="00AF045C">
        <w:rPr>
          <w:rFonts w:ascii="Arial" w:hAnsi="Arial" w:cs="Arial"/>
        </w:rPr>
        <w:t xml:space="preserve">Desk Top analysis of </w:t>
      </w:r>
      <w:r w:rsidR="001B24D0">
        <w:rPr>
          <w:rFonts w:ascii="Arial" w:hAnsi="Arial" w:cs="Arial"/>
        </w:rPr>
        <w:t xml:space="preserve">all relevant </w:t>
      </w:r>
      <w:r w:rsidRPr="00AF045C">
        <w:rPr>
          <w:rFonts w:ascii="Arial" w:hAnsi="Arial" w:cs="Arial"/>
        </w:rPr>
        <w:t xml:space="preserve">financial information </w:t>
      </w:r>
    </w:p>
    <w:p w:rsidR="00C96890" w:rsidRPr="00AF045C" w:rsidRDefault="00AF045C" w:rsidP="00AF045C">
      <w:pPr>
        <w:spacing w:after="0" w:line="240" w:lineRule="auto"/>
        <w:contextualSpacing/>
        <w:jc w:val="both"/>
        <w:rPr>
          <w:rFonts w:ascii="Arial" w:hAnsi="Arial" w:cs="Arial"/>
        </w:rPr>
      </w:pPr>
      <w:r w:rsidRPr="00AF045C">
        <w:rPr>
          <w:rFonts w:ascii="Arial" w:hAnsi="Arial" w:cs="Arial"/>
        </w:rPr>
        <w:t>2.</w:t>
      </w:r>
      <w:r w:rsidRPr="00AF045C">
        <w:rPr>
          <w:rFonts w:ascii="Arial" w:hAnsi="Arial" w:cs="Arial"/>
        </w:rPr>
        <w:tab/>
        <w:t xml:space="preserve">Meetings with Legal Team and other Service users </w:t>
      </w:r>
    </w:p>
    <w:p w:rsidR="00AF045C" w:rsidRPr="00AF045C" w:rsidRDefault="00AF045C" w:rsidP="00AF045C">
      <w:pPr>
        <w:spacing w:after="0" w:line="240" w:lineRule="auto"/>
        <w:contextualSpacing/>
        <w:jc w:val="both"/>
        <w:rPr>
          <w:rFonts w:ascii="Arial" w:hAnsi="Arial" w:cs="Arial"/>
        </w:rPr>
      </w:pPr>
      <w:r w:rsidRPr="00AF045C">
        <w:rPr>
          <w:rFonts w:ascii="Arial" w:hAnsi="Arial" w:cs="Arial"/>
        </w:rPr>
        <w:t>3.</w:t>
      </w:r>
      <w:r w:rsidRPr="00AF045C">
        <w:rPr>
          <w:rFonts w:ascii="Arial" w:hAnsi="Arial" w:cs="Arial"/>
        </w:rPr>
        <w:tab/>
        <w:t xml:space="preserve">Benchmark provision in other Local Authorities  </w:t>
      </w:r>
    </w:p>
    <w:p w:rsidR="00C96890" w:rsidRDefault="00C96890" w:rsidP="00107FFB">
      <w:pPr>
        <w:jc w:val="both"/>
      </w:pPr>
    </w:p>
    <w:p w:rsidR="00C96890" w:rsidRPr="00081907" w:rsidRDefault="00081907" w:rsidP="00107FFB">
      <w:pPr>
        <w:jc w:val="both"/>
        <w:rPr>
          <w:rFonts w:ascii="Arial" w:hAnsi="Arial" w:cs="Arial"/>
          <w:b/>
        </w:rPr>
      </w:pPr>
      <w:r w:rsidRPr="00081907">
        <w:rPr>
          <w:rFonts w:ascii="Arial" w:hAnsi="Arial" w:cs="Arial"/>
          <w:b/>
        </w:rPr>
        <w:t xml:space="preserve">Timescales </w:t>
      </w:r>
    </w:p>
    <w:p w:rsidR="00534FCD" w:rsidRPr="008D41BA" w:rsidRDefault="008D41BA" w:rsidP="00107FFB">
      <w:pPr>
        <w:jc w:val="both"/>
        <w:rPr>
          <w:rFonts w:ascii="Arial" w:hAnsi="Arial" w:cs="Arial"/>
        </w:rPr>
      </w:pPr>
      <w:r w:rsidRPr="008D41BA">
        <w:rPr>
          <w:rFonts w:ascii="Arial" w:hAnsi="Arial" w:cs="Arial"/>
        </w:rPr>
        <w:t>It is proposed that an up-date report will be provided to the Redesign Board workshop on 12 December, 2017 with recommendations presented and discussed at the workshop on 16 January, 2018. The final report would then be considered at the next formal Board meeting.</w:t>
      </w:r>
    </w:p>
    <w:sectPr w:rsidR="00534FCD" w:rsidRPr="008D41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FD7" w:rsidRDefault="00FC6FD7" w:rsidP="00D30428">
      <w:pPr>
        <w:spacing w:after="0" w:line="240" w:lineRule="auto"/>
      </w:pPr>
      <w:r>
        <w:separator/>
      </w:r>
    </w:p>
  </w:endnote>
  <w:endnote w:type="continuationSeparator" w:id="0">
    <w:p w:rsidR="00FC6FD7" w:rsidRDefault="00FC6FD7" w:rsidP="00D3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FD7" w:rsidRDefault="00FC6FD7" w:rsidP="00D30428">
      <w:pPr>
        <w:spacing w:after="0" w:line="240" w:lineRule="auto"/>
      </w:pPr>
      <w:r>
        <w:separator/>
      </w:r>
    </w:p>
  </w:footnote>
  <w:footnote w:type="continuationSeparator" w:id="0">
    <w:p w:rsidR="00FC6FD7" w:rsidRDefault="00FC6FD7" w:rsidP="00D30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217428"/>
      <w:docPartObj>
        <w:docPartGallery w:val="Watermarks"/>
        <w:docPartUnique/>
      </w:docPartObj>
    </w:sdtPr>
    <w:sdtEndPr/>
    <w:sdtContent>
      <w:p w:rsidR="00D30428" w:rsidRDefault="00E95DB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E8E"/>
    <w:multiLevelType w:val="hybridMultilevel"/>
    <w:tmpl w:val="C4B27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D338D8"/>
    <w:multiLevelType w:val="hybridMultilevel"/>
    <w:tmpl w:val="F9468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E77EFC"/>
    <w:multiLevelType w:val="hybridMultilevel"/>
    <w:tmpl w:val="DC90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F23CA4"/>
    <w:multiLevelType w:val="hybridMultilevel"/>
    <w:tmpl w:val="3BB6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033179"/>
    <w:multiLevelType w:val="hybridMultilevel"/>
    <w:tmpl w:val="6096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7A"/>
    <w:rsid w:val="00081145"/>
    <w:rsid w:val="00081907"/>
    <w:rsid w:val="00107FFB"/>
    <w:rsid w:val="001B24D0"/>
    <w:rsid w:val="002802D6"/>
    <w:rsid w:val="002E1F9F"/>
    <w:rsid w:val="003D3C47"/>
    <w:rsid w:val="00405AD0"/>
    <w:rsid w:val="00534FCD"/>
    <w:rsid w:val="0054622C"/>
    <w:rsid w:val="00583560"/>
    <w:rsid w:val="005F4F09"/>
    <w:rsid w:val="006A45AF"/>
    <w:rsid w:val="008D41BA"/>
    <w:rsid w:val="009F237F"/>
    <w:rsid w:val="00A255AC"/>
    <w:rsid w:val="00AA24DF"/>
    <w:rsid w:val="00AF045C"/>
    <w:rsid w:val="00B17CE0"/>
    <w:rsid w:val="00B4226A"/>
    <w:rsid w:val="00C96890"/>
    <w:rsid w:val="00D30428"/>
    <w:rsid w:val="00DF5D7A"/>
    <w:rsid w:val="00E017BC"/>
    <w:rsid w:val="00E037B8"/>
    <w:rsid w:val="00E95DB2"/>
    <w:rsid w:val="00FC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90"/>
    <w:pPr>
      <w:ind w:left="720"/>
      <w:contextualSpacing/>
    </w:pPr>
  </w:style>
  <w:style w:type="table" w:styleId="TableGrid">
    <w:name w:val="Table Grid"/>
    <w:basedOn w:val="TableNormal"/>
    <w:uiPriority w:val="59"/>
    <w:rsid w:val="0053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428"/>
  </w:style>
  <w:style w:type="paragraph" w:styleId="Footer">
    <w:name w:val="footer"/>
    <w:basedOn w:val="Normal"/>
    <w:link w:val="FooterChar"/>
    <w:uiPriority w:val="99"/>
    <w:unhideWhenUsed/>
    <w:rsid w:val="00D3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890"/>
    <w:pPr>
      <w:ind w:left="720"/>
      <w:contextualSpacing/>
    </w:pPr>
  </w:style>
  <w:style w:type="table" w:styleId="TableGrid">
    <w:name w:val="Table Grid"/>
    <w:basedOn w:val="TableNormal"/>
    <w:uiPriority w:val="59"/>
    <w:rsid w:val="0053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428"/>
  </w:style>
  <w:style w:type="paragraph" w:styleId="Footer">
    <w:name w:val="footer"/>
    <w:basedOn w:val="Normal"/>
    <w:link w:val="FooterChar"/>
    <w:uiPriority w:val="99"/>
    <w:unhideWhenUsed/>
    <w:rsid w:val="00D3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EC5F-F185-48DD-BF32-B35BC3BC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Morrison</dc:creator>
  <cp:lastModifiedBy>Carron McDiarmid</cp:lastModifiedBy>
  <cp:revision>2</cp:revision>
  <cp:lastPrinted>2017-11-10T12:35:00Z</cp:lastPrinted>
  <dcterms:created xsi:type="dcterms:W3CDTF">2017-11-10T13:21:00Z</dcterms:created>
  <dcterms:modified xsi:type="dcterms:W3CDTF">2017-11-10T13:21:00Z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-1690200818</vt:i4>
  </property>
  <property fmtid="{D5CDD505-2E9C-101B-9397-08002B2CF9AE}" pid="3" name="_NewReviewCycle">
    <vt:lpwstr/>
  </property>
  <property fmtid="{D5CDD505-2E9C-101B-9397-08002B2CF9AE}" pid="4" name="_EmailSubject">
    <vt:lpwstr>redesign pages</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-1175608581</vt:i4>
  </property>
</Properties>
</file>