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53" w:rsidRDefault="00177353" w:rsidP="00177353">
      <w:pPr>
        <w:pStyle w:val="Heading2"/>
        <w:rPr>
          <w:lang w:val="en"/>
        </w:rPr>
      </w:pPr>
      <w:bookmarkStart w:id="0" w:name="_Toc327356082"/>
      <w:r>
        <w:rPr>
          <w:lang w:val="en"/>
        </w:rPr>
        <w:t xml:space="preserve">Equality Impact Assessment: </w:t>
      </w:r>
    </w:p>
    <w:p w:rsidR="00177353" w:rsidRPr="00DE1EDA" w:rsidRDefault="00177353" w:rsidP="00177353">
      <w:pPr>
        <w:pStyle w:val="NoSpacing"/>
        <w:rPr>
          <w:rFonts w:cs="Arial"/>
          <w:b/>
          <w:szCs w:val="24"/>
        </w:rPr>
      </w:pPr>
      <w:r w:rsidRPr="00DE1EDA">
        <w:rPr>
          <w:rFonts w:cs="Arial"/>
          <w:b/>
          <w:szCs w:val="24"/>
        </w:rPr>
        <w:t>Purpose of the Equality Impact Assessment:</w:t>
      </w:r>
    </w:p>
    <w:p w:rsidR="00177353" w:rsidRPr="00DE1EDA" w:rsidRDefault="00177353" w:rsidP="00177353">
      <w:pPr>
        <w:pStyle w:val="NoSpacing"/>
        <w:rPr>
          <w:rFonts w:cs="Arial"/>
          <w:color w:val="000000" w:themeColor="text1"/>
          <w:szCs w:val="24"/>
        </w:rPr>
      </w:pPr>
      <w:r w:rsidRPr="00DE1EDA">
        <w:rPr>
          <w:rFonts w:cs="Arial"/>
          <w:color w:val="000000" w:themeColor="text1"/>
          <w:szCs w:val="24"/>
        </w:rPr>
        <w:t xml:space="preserve">The Equality Act 2010 </w:t>
      </w:r>
      <w:r>
        <w:rPr>
          <w:rFonts w:cs="Arial"/>
          <w:color w:val="000000" w:themeColor="text1"/>
          <w:szCs w:val="24"/>
        </w:rPr>
        <w:t xml:space="preserve">introduced a </w:t>
      </w:r>
      <w:hyperlink r:id="rId7" w:history="1">
        <w:r w:rsidRPr="00DE1EDA">
          <w:rPr>
            <w:rStyle w:val="Hyperlink"/>
            <w:rFonts w:cs="Arial"/>
            <w:color w:val="000000" w:themeColor="text1"/>
            <w:szCs w:val="24"/>
          </w:rPr>
          <w:t>Public Sector Equality Duty</w:t>
        </w:r>
      </w:hyperlink>
      <w:r w:rsidRPr="00DE1EDA">
        <w:rPr>
          <w:rStyle w:val="Hyperlink"/>
          <w:rFonts w:cs="Arial"/>
          <w:color w:val="000000" w:themeColor="text1"/>
          <w:szCs w:val="24"/>
        </w:rPr>
        <w:t xml:space="preserve"> (PSED)</w:t>
      </w:r>
      <w:r w:rsidRPr="00DE1EDA">
        <w:rPr>
          <w:rFonts w:cs="Arial"/>
          <w:color w:val="000000" w:themeColor="text1"/>
          <w:szCs w:val="24"/>
        </w:rPr>
        <w:t xml:space="preserve"> </w:t>
      </w:r>
      <w:r>
        <w:rPr>
          <w:rFonts w:cs="Arial"/>
          <w:color w:val="000000" w:themeColor="text1"/>
          <w:szCs w:val="24"/>
        </w:rPr>
        <w:t>requiring</w:t>
      </w:r>
      <w:r w:rsidRPr="00DE1EDA">
        <w:rPr>
          <w:rFonts w:cs="Arial"/>
          <w:color w:val="000000" w:themeColor="text1"/>
          <w:szCs w:val="24"/>
        </w:rPr>
        <w:t xml:space="preserve"> public bodies to give due regard to the need to:</w:t>
      </w:r>
    </w:p>
    <w:p w:rsidR="00177353" w:rsidRPr="00DE1EDA" w:rsidRDefault="00177353" w:rsidP="00177353">
      <w:pPr>
        <w:pStyle w:val="NoSpacing"/>
        <w:numPr>
          <w:ilvl w:val="0"/>
          <w:numId w:val="9"/>
        </w:numPr>
        <w:rPr>
          <w:rFonts w:cs="Arial"/>
          <w:color w:val="000000" w:themeColor="text1"/>
          <w:szCs w:val="24"/>
        </w:rPr>
      </w:pPr>
      <w:r w:rsidRPr="00DE1EDA">
        <w:rPr>
          <w:rFonts w:cs="Arial"/>
          <w:color w:val="000000" w:themeColor="text1"/>
          <w:szCs w:val="24"/>
        </w:rPr>
        <w:t>Eliminate unlawful discrimination</w:t>
      </w:r>
    </w:p>
    <w:p w:rsidR="00177353" w:rsidRPr="00DE1EDA" w:rsidRDefault="00177353" w:rsidP="00177353">
      <w:pPr>
        <w:pStyle w:val="NoSpacing"/>
        <w:numPr>
          <w:ilvl w:val="0"/>
          <w:numId w:val="9"/>
        </w:numPr>
        <w:rPr>
          <w:rFonts w:cs="Arial"/>
          <w:color w:val="000000" w:themeColor="text1"/>
          <w:szCs w:val="24"/>
        </w:rPr>
      </w:pPr>
      <w:r w:rsidRPr="00DE1EDA">
        <w:rPr>
          <w:rFonts w:cs="Arial"/>
          <w:color w:val="000000" w:themeColor="text1"/>
          <w:szCs w:val="24"/>
        </w:rPr>
        <w:t xml:space="preserve">Advance equality of opportunity </w:t>
      </w:r>
    </w:p>
    <w:p w:rsidR="00177353" w:rsidRPr="00DE1EDA" w:rsidRDefault="00177353" w:rsidP="00177353">
      <w:pPr>
        <w:pStyle w:val="NoSpacing"/>
        <w:numPr>
          <w:ilvl w:val="0"/>
          <w:numId w:val="9"/>
        </w:numPr>
        <w:rPr>
          <w:rFonts w:cs="Arial"/>
          <w:color w:val="000000" w:themeColor="text1"/>
          <w:szCs w:val="24"/>
        </w:rPr>
      </w:pPr>
      <w:r w:rsidRPr="00DE1EDA">
        <w:rPr>
          <w:rFonts w:cs="Arial"/>
          <w:color w:val="000000" w:themeColor="text1"/>
          <w:szCs w:val="24"/>
        </w:rPr>
        <w:t>Foster good relations</w:t>
      </w:r>
    </w:p>
    <w:p w:rsidR="00177353" w:rsidRPr="00DE1EDA" w:rsidRDefault="00177353" w:rsidP="00177353">
      <w:pPr>
        <w:pStyle w:val="NoSpacing"/>
        <w:rPr>
          <w:rFonts w:cs="Arial"/>
          <w:color w:val="000000" w:themeColor="text1"/>
          <w:szCs w:val="24"/>
        </w:rPr>
      </w:pPr>
    </w:p>
    <w:p w:rsidR="00177353" w:rsidRPr="00DE1EDA" w:rsidRDefault="00177353" w:rsidP="00177353">
      <w:pPr>
        <w:pStyle w:val="NoSpacing"/>
        <w:rPr>
          <w:rFonts w:cs="Arial"/>
          <w:color w:val="000000" w:themeColor="text1"/>
          <w:szCs w:val="24"/>
        </w:rPr>
      </w:pPr>
      <w:r>
        <w:rPr>
          <w:rFonts w:cs="Arial"/>
          <w:color w:val="000000" w:themeColor="text1"/>
          <w:szCs w:val="24"/>
        </w:rPr>
        <w:t>Consideration must be given to the</w:t>
      </w:r>
      <w:r w:rsidRPr="00DE1EDA">
        <w:rPr>
          <w:rFonts w:cs="Arial"/>
          <w:color w:val="000000" w:themeColor="text1"/>
          <w:szCs w:val="24"/>
        </w:rPr>
        <w:t xml:space="preserve"> </w:t>
      </w:r>
      <w:r w:rsidRPr="00DE1EDA">
        <w:rPr>
          <w:rFonts w:cs="Arial"/>
          <w:bCs/>
          <w:color w:val="000000" w:themeColor="text1"/>
          <w:szCs w:val="24"/>
        </w:rPr>
        <w:t>protected characteristics</w:t>
      </w:r>
      <w:r>
        <w:rPr>
          <w:rFonts w:cs="Arial"/>
          <w:bCs/>
          <w:color w:val="000000" w:themeColor="text1"/>
          <w:szCs w:val="24"/>
        </w:rPr>
        <w:t xml:space="preserve"> covered by</w:t>
      </w:r>
      <w:r w:rsidRPr="00DE1EDA">
        <w:rPr>
          <w:rFonts w:cs="Arial"/>
          <w:color w:val="000000" w:themeColor="text1"/>
          <w:szCs w:val="24"/>
        </w:rPr>
        <w:t xml:space="preserve"> the Equality Act</w:t>
      </w:r>
      <w:r>
        <w:rPr>
          <w:rFonts w:cs="Arial"/>
          <w:color w:val="000000" w:themeColor="text1"/>
          <w:szCs w:val="24"/>
        </w:rPr>
        <w:t>.</w:t>
      </w:r>
      <w:r w:rsidRPr="00DE1EDA">
        <w:rPr>
          <w:rFonts w:cs="Arial"/>
          <w:color w:val="000000" w:themeColor="text1"/>
          <w:szCs w:val="24"/>
        </w:rPr>
        <w:t xml:space="preserve"> </w:t>
      </w:r>
      <w:r>
        <w:rPr>
          <w:rFonts w:cs="Arial"/>
          <w:color w:val="000000" w:themeColor="text1"/>
          <w:szCs w:val="24"/>
        </w:rPr>
        <w:t xml:space="preserve">  </w:t>
      </w:r>
      <w:r w:rsidRPr="00DE1EDA">
        <w:rPr>
          <w:rFonts w:cs="Arial"/>
          <w:color w:val="000000" w:themeColor="text1"/>
          <w:szCs w:val="24"/>
        </w:rPr>
        <w:t>Assessments should ‘</w:t>
      </w:r>
      <w:r w:rsidRPr="00DE1EDA">
        <w:rPr>
          <w:rFonts w:cs="Arial"/>
          <w:color w:val="000000" w:themeColor="text1"/>
          <w:szCs w:val="24"/>
          <w:lang w:val="en"/>
        </w:rPr>
        <w:t>consider relevant evidence relating to persons with protected characteristics in relation to assessments of impact’.</w:t>
      </w:r>
    </w:p>
    <w:p w:rsidR="00177353" w:rsidRPr="00DE1EDA" w:rsidRDefault="00177353" w:rsidP="00177353">
      <w:pPr>
        <w:pStyle w:val="NoSpacing"/>
        <w:rPr>
          <w:rFonts w:cs="Arial"/>
          <w:color w:val="000000" w:themeColor="text1"/>
          <w:szCs w:val="24"/>
        </w:rPr>
      </w:pPr>
    </w:p>
    <w:p w:rsidR="00177353" w:rsidRPr="00DE1EDA" w:rsidRDefault="00177353" w:rsidP="00177353">
      <w:pPr>
        <w:pStyle w:val="NoSpacing"/>
        <w:rPr>
          <w:rFonts w:cs="Arial"/>
          <w:bCs/>
          <w:color w:val="000000" w:themeColor="text1"/>
          <w:szCs w:val="24"/>
        </w:rPr>
      </w:pPr>
      <w:r w:rsidRPr="00DE1EDA">
        <w:rPr>
          <w:rFonts w:cs="Arial"/>
          <w:color w:val="000000" w:themeColor="text1"/>
          <w:szCs w:val="24"/>
        </w:rPr>
        <w:t xml:space="preserve">The purpose of an Equality Impact Assessment (EQIA) </w:t>
      </w:r>
      <w:r w:rsidRPr="00DE1EDA">
        <w:rPr>
          <w:rFonts w:cs="Arial"/>
          <w:bCs/>
          <w:color w:val="000000" w:themeColor="text1"/>
          <w:szCs w:val="24"/>
        </w:rPr>
        <w:t>is to ensure that policies</w:t>
      </w:r>
      <w:r>
        <w:rPr>
          <w:rFonts w:cs="Arial"/>
          <w:bCs/>
          <w:color w:val="000000" w:themeColor="text1"/>
          <w:szCs w:val="24"/>
        </w:rPr>
        <w:t>, functions, plans or decisions (hereafter referred to as ‘policy’)</w:t>
      </w:r>
      <w:r w:rsidRPr="00DE1EDA">
        <w:rPr>
          <w:rFonts w:cs="Arial"/>
          <w:bCs/>
          <w:color w:val="000000" w:themeColor="text1"/>
          <w:szCs w:val="24"/>
        </w:rPr>
        <w:t xml:space="preserve"> do not create unnecessary barriers </w:t>
      </w:r>
      <w:r>
        <w:rPr>
          <w:rFonts w:cs="Arial"/>
          <w:bCs/>
          <w:color w:val="000000" w:themeColor="text1"/>
          <w:szCs w:val="24"/>
        </w:rPr>
        <w:t>for people protected under the Act.  Where negative impacts are identified these should be eliminated or minimised, and opportunities for positive impact should be maximised.</w:t>
      </w:r>
    </w:p>
    <w:p w:rsidR="00177353" w:rsidRDefault="00177353" w:rsidP="00177353">
      <w:pPr>
        <w:autoSpaceDE w:val="0"/>
        <w:autoSpaceDN w:val="0"/>
        <w:adjustRightInd w:val="0"/>
        <w:spacing w:after="0"/>
        <w:rPr>
          <w:lang w:val="en"/>
        </w:rPr>
      </w:pPr>
    </w:p>
    <w:p w:rsidR="00177353" w:rsidRDefault="00177353" w:rsidP="00177353">
      <w:pPr>
        <w:autoSpaceDE w:val="0"/>
        <w:autoSpaceDN w:val="0"/>
        <w:adjustRightInd w:val="0"/>
        <w:spacing w:after="0"/>
        <w:rPr>
          <w:lang w:val="en"/>
        </w:rPr>
      </w:pPr>
      <w:r w:rsidRPr="00604330">
        <w:rPr>
          <w:lang w:val="en"/>
        </w:rPr>
        <w:t>Screening is a short exercise to determine if a policy is relevant to equality and</w:t>
      </w:r>
      <w:r>
        <w:rPr>
          <w:lang w:val="en"/>
        </w:rPr>
        <w:t xml:space="preserve"> whether a full equality impact </w:t>
      </w:r>
      <w:r w:rsidRPr="00604330">
        <w:rPr>
          <w:lang w:val="en"/>
        </w:rPr>
        <w:t>assessment (EQIA)</w:t>
      </w:r>
      <w:r>
        <w:rPr>
          <w:lang w:val="en"/>
        </w:rPr>
        <w:t xml:space="preserve"> should be carried out. </w:t>
      </w:r>
    </w:p>
    <w:p w:rsidR="008B5704" w:rsidRDefault="008B5704" w:rsidP="008B5704">
      <w:pPr>
        <w:autoSpaceDE w:val="0"/>
        <w:autoSpaceDN w:val="0"/>
        <w:adjustRightInd w:val="0"/>
        <w:spacing w:after="0"/>
        <w:rPr>
          <w:rFonts w:cs="Arial"/>
          <w:szCs w:val="24"/>
        </w:rPr>
      </w:pPr>
    </w:p>
    <w:p w:rsidR="00746CAE" w:rsidRDefault="00746CAE" w:rsidP="0042158A">
      <w:pPr>
        <w:spacing w:after="0"/>
        <w:rPr>
          <w:rFonts w:cs="Arial"/>
          <w:szCs w:val="24"/>
        </w:rPr>
      </w:pPr>
    </w:p>
    <w:tbl>
      <w:tblPr>
        <w:tblStyle w:val="TableGrid"/>
        <w:tblW w:w="9356" w:type="dxa"/>
        <w:tblInd w:w="-34" w:type="dxa"/>
        <w:tblLook w:val="04A0" w:firstRow="1" w:lastRow="0" w:firstColumn="1" w:lastColumn="0" w:noHBand="0" w:noVBand="1"/>
      </w:tblPr>
      <w:tblGrid>
        <w:gridCol w:w="3828"/>
        <w:gridCol w:w="567"/>
        <w:gridCol w:w="4961"/>
      </w:tblGrid>
      <w:tr w:rsidR="00746CAE" w:rsidTr="00646A49">
        <w:tc>
          <w:tcPr>
            <w:tcW w:w="3828" w:type="dxa"/>
          </w:tcPr>
          <w:p w:rsidR="00746CAE" w:rsidRDefault="00746CAE" w:rsidP="004739D1">
            <w:pPr>
              <w:rPr>
                <w:rFonts w:cs="Arial"/>
                <w:szCs w:val="24"/>
              </w:rPr>
            </w:pPr>
            <w:r>
              <w:rPr>
                <w:lang w:val="en"/>
              </w:rPr>
              <w:t>T</w:t>
            </w:r>
            <w:r w:rsidRPr="006578F5">
              <w:rPr>
                <w:lang w:val="en"/>
              </w:rPr>
              <w:t>itle/description of the policy</w:t>
            </w:r>
          </w:p>
        </w:tc>
        <w:tc>
          <w:tcPr>
            <w:tcW w:w="5528" w:type="dxa"/>
            <w:gridSpan w:val="2"/>
          </w:tcPr>
          <w:p w:rsidR="00746CAE" w:rsidRDefault="00F73767" w:rsidP="002B65C5">
            <w:pPr>
              <w:pStyle w:val="NoSpacing"/>
              <w:spacing w:line="276" w:lineRule="auto"/>
              <w:rPr>
                <w:rFonts w:cs="Arial"/>
                <w:szCs w:val="24"/>
              </w:rPr>
            </w:pPr>
            <w:r>
              <w:rPr>
                <w:rFonts w:cs="Arial"/>
                <w:szCs w:val="24"/>
              </w:rPr>
              <w:t>CEO Savings – Access Panels</w:t>
            </w:r>
          </w:p>
        </w:tc>
      </w:tr>
      <w:tr w:rsidR="00746CAE" w:rsidTr="00646A49">
        <w:tc>
          <w:tcPr>
            <w:tcW w:w="3828" w:type="dxa"/>
          </w:tcPr>
          <w:p w:rsidR="00746CAE" w:rsidRPr="00746CAE" w:rsidRDefault="00746CAE" w:rsidP="00746CAE">
            <w:pPr>
              <w:pStyle w:val="NoSpacing"/>
              <w:spacing w:after="120"/>
              <w:rPr>
                <w:lang w:val="en"/>
              </w:rPr>
            </w:pPr>
            <w:r w:rsidRPr="006578F5">
              <w:rPr>
                <w:lang w:val="en"/>
              </w:rPr>
              <w:t>Name of the person</w:t>
            </w:r>
            <w:r w:rsidR="001C4C0F">
              <w:rPr>
                <w:lang w:val="en"/>
              </w:rPr>
              <w:t>(s)</w:t>
            </w:r>
            <w:r w:rsidRPr="006578F5">
              <w:rPr>
                <w:lang w:val="en"/>
              </w:rPr>
              <w:t xml:space="preserve"> carrying out the </w:t>
            </w:r>
            <w:r>
              <w:rPr>
                <w:lang w:val="en"/>
              </w:rPr>
              <w:t>assessment</w:t>
            </w:r>
            <w:r w:rsidRPr="006578F5">
              <w:rPr>
                <w:lang w:val="en"/>
              </w:rPr>
              <w:t>?</w:t>
            </w:r>
          </w:p>
        </w:tc>
        <w:tc>
          <w:tcPr>
            <w:tcW w:w="5528" w:type="dxa"/>
            <w:gridSpan w:val="2"/>
          </w:tcPr>
          <w:p w:rsidR="00746CAE" w:rsidRDefault="00636FC5" w:rsidP="0042158A">
            <w:pPr>
              <w:rPr>
                <w:rFonts w:cs="Arial"/>
                <w:szCs w:val="24"/>
              </w:rPr>
            </w:pPr>
            <w:r>
              <w:rPr>
                <w:rFonts w:cs="Arial"/>
                <w:szCs w:val="24"/>
              </w:rPr>
              <w:t>Rosemary Mackinnon</w:t>
            </w:r>
          </w:p>
        </w:tc>
      </w:tr>
      <w:tr w:rsidR="00746CAE" w:rsidTr="00646A49">
        <w:tc>
          <w:tcPr>
            <w:tcW w:w="3828" w:type="dxa"/>
          </w:tcPr>
          <w:p w:rsidR="00746CAE" w:rsidRPr="00746CAE" w:rsidRDefault="00746CAE" w:rsidP="00746CAE">
            <w:pPr>
              <w:pStyle w:val="NoSpacing"/>
              <w:spacing w:after="120"/>
              <w:rPr>
                <w:lang w:val="en"/>
              </w:rPr>
            </w:pPr>
            <w:r>
              <w:rPr>
                <w:lang w:val="en"/>
              </w:rPr>
              <w:t xml:space="preserve">Service and </w:t>
            </w:r>
            <w:r w:rsidR="001C4C0F">
              <w:rPr>
                <w:lang w:val="en"/>
              </w:rPr>
              <w:t>Department</w:t>
            </w:r>
          </w:p>
        </w:tc>
        <w:tc>
          <w:tcPr>
            <w:tcW w:w="5528" w:type="dxa"/>
            <w:gridSpan w:val="2"/>
          </w:tcPr>
          <w:p w:rsidR="00746CAE" w:rsidRDefault="00636FC5" w:rsidP="0042158A">
            <w:pPr>
              <w:rPr>
                <w:rFonts w:cs="Arial"/>
                <w:szCs w:val="24"/>
              </w:rPr>
            </w:pPr>
            <w:r>
              <w:rPr>
                <w:rFonts w:cs="Arial"/>
                <w:szCs w:val="24"/>
              </w:rPr>
              <w:t>Chief Executive’s Office</w:t>
            </w:r>
          </w:p>
        </w:tc>
      </w:tr>
      <w:tr w:rsidR="00746CAE" w:rsidTr="00646A49">
        <w:tc>
          <w:tcPr>
            <w:tcW w:w="3828" w:type="dxa"/>
          </w:tcPr>
          <w:p w:rsidR="00746CAE" w:rsidRPr="006578F5" w:rsidRDefault="001C4C0F" w:rsidP="00746CAE">
            <w:pPr>
              <w:pStyle w:val="NoSpacing"/>
              <w:spacing w:after="120"/>
              <w:rPr>
                <w:lang w:val="en"/>
              </w:rPr>
            </w:pPr>
            <w:r>
              <w:rPr>
                <w:lang w:val="en"/>
              </w:rPr>
              <w:t>Date of assessment</w:t>
            </w:r>
          </w:p>
        </w:tc>
        <w:tc>
          <w:tcPr>
            <w:tcW w:w="5528" w:type="dxa"/>
            <w:gridSpan w:val="2"/>
          </w:tcPr>
          <w:p w:rsidR="00746CAE" w:rsidRDefault="00636FC5" w:rsidP="0042158A">
            <w:pPr>
              <w:rPr>
                <w:rFonts w:cs="Arial"/>
                <w:szCs w:val="24"/>
              </w:rPr>
            </w:pPr>
            <w:r>
              <w:rPr>
                <w:rFonts w:cs="Arial"/>
                <w:szCs w:val="24"/>
              </w:rPr>
              <w:t>19 January 2018</w:t>
            </w:r>
          </w:p>
        </w:tc>
      </w:tr>
      <w:tr w:rsidR="00522380" w:rsidTr="00FC4B11">
        <w:tc>
          <w:tcPr>
            <w:tcW w:w="9356" w:type="dxa"/>
            <w:gridSpan w:val="3"/>
          </w:tcPr>
          <w:p w:rsidR="00522380" w:rsidRDefault="00522380" w:rsidP="00B237C8">
            <w:pPr>
              <w:rPr>
                <w:rFonts w:cs="Arial"/>
                <w:szCs w:val="24"/>
              </w:rPr>
            </w:pPr>
            <w:r w:rsidRPr="006578F5">
              <w:rPr>
                <w:lang w:val="en"/>
              </w:rPr>
              <w:t xml:space="preserve">What are the aims and objectives of the </w:t>
            </w:r>
            <w:r w:rsidR="00B237C8">
              <w:rPr>
                <w:lang w:val="en"/>
              </w:rPr>
              <w:t>budget proposal</w:t>
            </w:r>
          </w:p>
        </w:tc>
      </w:tr>
      <w:tr w:rsidR="00522380" w:rsidTr="00842D32">
        <w:tc>
          <w:tcPr>
            <w:tcW w:w="9356" w:type="dxa"/>
            <w:gridSpan w:val="3"/>
          </w:tcPr>
          <w:p w:rsidR="00522380" w:rsidRDefault="00522380" w:rsidP="00EE3CD1">
            <w:pPr>
              <w:rPr>
                <w:rFonts w:cs="Arial"/>
                <w:szCs w:val="24"/>
              </w:rPr>
            </w:pPr>
          </w:p>
          <w:p w:rsidR="00B9697B" w:rsidRPr="008444D5" w:rsidRDefault="00B9697B" w:rsidP="00B9697B">
            <w:pPr>
              <w:pStyle w:val="NormalWeb"/>
              <w:shd w:val="clear" w:color="auto" w:fill="FFFFFF"/>
              <w:rPr>
                <w:rFonts w:ascii="Arial" w:hAnsi="Arial" w:cs="Arial"/>
                <w:i/>
                <w:sz w:val="22"/>
                <w:szCs w:val="22"/>
                <w:lang w:val="en-US"/>
              </w:rPr>
            </w:pPr>
            <w:r w:rsidRPr="008444D5">
              <w:rPr>
                <w:rFonts w:ascii="Arial" w:hAnsi="Arial" w:cs="Arial"/>
                <w:i/>
                <w:sz w:val="22"/>
                <w:szCs w:val="22"/>
                <w:lang w:val="en-US"/>
              </w:rPr>
              <w:t>There are 8 Access Panels in the Highland area. The Access Panels are groups of volunteers who work to address access issues in the built environment and towards improving social inclusion for disabled people and access in the broadest sense</w:t>
            </w:r>
            <w:r w:rsidR="00B237C8" w:rsidRPr="008444D5">
              <w:rPr>
                <w:rFonts w:ascii="Arial" w:hAnsi="Arial" w:cs="Arial"/>
                <w:i/>
                <w:sz w:val="22"/>
                <w:szCs w:val="22"/>
                <w:lang w:val="en-US"/>
              </w:rPr>
              <w:t xml:space="preserve">. </w:t>
            </w:r>
          </w:p>
          <w:p w:rsidR="00B237C8" w:rsidRPr="008444D5" w:rsidRDefault="00B237C8" w:rsidP="00B237C8">
            <w:pPr>
              <w:rPr>
                <w:rFonts w:cs="Arial"/>
                <w:i/>
                <w:sz w:val="22"/>
              </w:rPr>
            </w:pPr>
            <w:r w:rsidRPr="008444D5">
              <w:rPr>
                <w:rFonts w:cs="Arial"/>
                <w:i/>
                <w:sz w:val="22"/>
              </w:rPr>
              <w:t xml:space="preserve">The saving proposal seeks to reduce an annual discretionary grant award to each of the Panels by 10% in 2018/19 from the current amount of £1250 to each Panel to £1125, resulting in a £1000 saving overall. This is in line with previous reductions to discretionary grants to third sector bodies applied by other Council services. </w:t>
            </w:r>
          </w:p>
          <w:p w:rsidR="003A79FF" w:rsidRPr="008444D5" w:rsidRDefault="003A79FF" w:rsidP="00B237C8">
            <w:pPr>
              <w:rPr>
                <w:rFonts w:cs="Arial"/>
                <w:i/>
                <w:sz w:val="22"/>
              </w:rPr>
            </w:pPr>
          </w:p>
          <w:p w:rsidR="008444D5" w:rsidRDefault="003A79FF" w:rsidP="008444D5">
            <w:pPr>
              <w:rPr>
                <w:rFonts w:cs="Arial"/>
                <w:i/>
                <w:sz w:val="22"/>
              </w:rPr>
            </w:pPr>
            <w:r w:rsidRPr="008444D5">
              <w:rPr>
                <w:rFonts w:cs="Arial"/>
                <w:i/>
                <w:sz w:val="22"/>
              </w:rPr>
              <w:t xml:space="preserve">Panels are expected to represent and identify the needs of disabled </w:t>
            </w:r>
            <w:r w:rsidR="00412182" w:rsidRPr="008444D5">
              <w:rPr>
                <w:rFonts w:cs="Arial"/>
                <w:i/>
                <w:sz w:val="22"/>
              </w:rPr>
              <w:t>people</w:t>
            </w:r>
            <w:r w:rsidRPr="008444D5">
              <w:rPr>
                <w:rFonts w:cs="Arial"/>
                <w:i/>
                <w:sz w:val="22"/>
              </w:rPr>
              <w:t xml:space="preserve"> in </w:t>
            </w:r>
            <w:r w:rsidR="00412182" w:rsidRPr="008444D5">
              <w:rPr>
                <w:rFonts w:cs="Arial"/>
                <w:i/>
                <w:sz w:val="22"/>
              </w:rPr>
              <w:t>Highland</w:t>
            </w:r>
            <w:r w:rsidRPr="008444D5">
              <w:rPr>
                <w:rFonts w:cs="Arial"/>
                <w:i/>
                <w:sz w:val="22"/>
              </w:rPr>
              <w:t xml:space="preserve"> affected by a wide range of impairments or conditions</w:t>
            </w:r>
            <w:r w:rsidR="00412182" w:rsidRPr="008444D5">
              <w:rPr>
                <w:rFonts w:cs="Arial"/>
                <w:i/>
                <w:sz w:val="22"/>
              </w:rPr>
              <w:t xml:space="preserve">. </w:t>
            </w:r>
          </w:p>
          <w:p w:rsidR="008444D5" w:rsidRDefault="008444D5" w:rsidP="008444D5">
            <w:pPr>
              <w:rPr>
                <w:rFonts w:cs="Arial"/>
                <w:i/>
                <w:sz w:val="22"/>
              </w:rPr>
            </w:pPr>
          </w:p>
          <w:p w:rsidR="008444D5" w:rsidRPr="008444D5" w:rsidRDefault="008444D5" w:rsidP="008444D5">
            <w:pPr>
              <w:rPr>
                <w:rFonts w:cs="Arial"/>
                <w:i/>
                <w:sz w:val="22"/>
              </w:rPr>
            </w:pPr>
            <w:r w:rsidRPr="008444D5">
              <w:rPr>
                <w:rFonts w:cs="Arial"/>
                <w:i/>
                <w:sz w:val="22"/>
              </w:rPr>
              <w:t xml:space="preserve">Each panel is </w:t>
            </w:r>
            <w:r>
              <w:rPr>
                <w:rFonts w:cs="Arial"/>
                <w:i/>
                <w:sz w:val="22"/>
              </w:rPr>
              <w:t xml:space="preserve">an </w:t>
            </w:r>
            <w:r w:rsidRPr="008444D5">
              <w:rPr>
                <w:rFonts w:cs="Arial"/>
                <w:i/>
                <w:sz w:val="22"/>
              </w:rPr>
              <w:t>autonomous</w:t>
            </w:r>
            <w:r>
              <w:rPr>
                <w:rFonts w:cs="Arial"/>
                <w:i/>
                <w:sz w:val="22"/>
              </w:rPr>
              <w:t>, separately constituted body,</w:t>
            </w:r>
            <w:r w:rsidRPr="008444D5">
              <w:rPr>
                <w:rFonts w:cs="Arial"/>
                <w:i/>
                <w:sz w:val="22"/>
              </w:rPr>
              <w:t xml:space="preserve"> and the functions of each panel can vary but typical access work is</w:t>
            </w:r>
            <w:proofErr w:type="gramStart"/>
            <w:r w:rsidRPr="008444D5">
              <w:rPr>
                <w:rFonts w:cs="Arial"/>
                <w:i/>
                <w:sz w:val="22"/>
              </w:rPr>
              <w:t>:</w:t>
            </w:r>
            <w:proofErr w:type="gramEnd"/>
            <w:r w:rsidRPr="008444D5">
              <w:rPr>
                <w:rFonts w:cs="Arial"/>
                <w:i/>
                <w:sz w:val="22"/>
              </w:rPr>
              <w:br/>
              <w:t>• To review building standards/planning applications to ensure the best access possible.</w:t>
            </w:r>
            <w:r w:rsidRPr="008444D5">
              <w:rPr>
                <w:rFonts w:cs="Arial"/>
                <w:i/>
                <w:sz w:val="22"/>
              </w:rPr>
              <w:br/>
              <w:t>• As a first point of contact with local authorities and other public bodies on access issues.</w:t>
            </w:r>
            <w:r w:rsidRPr="008444D5">
              <w:rPr>
                <w:rFonts w:cs="Arial"/>
                <w:i/>
                <w:sz w:val="22"/>
              </w:rPr>
              <w:br/>
              <w:t>• To provide input to the decisions and policies of statutory and other organisations concerning access and issues of importance to disabled people. This includes assisting local authorities, public bodies and designers to meet their statutory obligations.</w:t>
            </w:r>
            <w:r w:rsidRPr="008444D5">
              <w:rPr>
                <w:rFonts w:cs="Arial"/>
                <w:i/>
                <w:sz w:val="22"/>
              </w:rPr>
              <w:br/>
              <w:t xml:space="preserve">• Promote ‘best practice’ on all issues of access therefore ensuring that the environment is </w:t>
            </w:r>
            <w:r w:rsidRPr="008444D5">
              <w:rPr>
                <w:rFonts w:cs="Arial"/>
                <w:i/>
                <w:sz w:val="22"/>
              </w:rPr>
              <w:lastRenderedPageBreak/>
              <w:t>accessible to as many people as possible.</w:t>
            </w:r>
            <w:r w:rsidRPr="008444D5">
              <w:rPr>
                <w:rFonts w:cs="Arial"/>
                <w:i/>
                <w:sz w:val="22"/>
              </w:rPr>
              <w:br/>
              <w:t>• Publish Access Guides, leaflets and posters to raise awareness.</w:t>
            </w:r>
            <w:r w:rsidRPr="008444D5">
              <w:rPr>
                <w:rFonts w:cs="Arial"/>
                <w:i/>
                <w:sz w:val="22"/>
              </w:rPr>
              <w:br/>
              <w:t>• Encourage Social Inclusion and help create an accessible environment for all.</w:t>
            </w:r>
            <w:r w:rsidRPr="008444D5">
              <w:rPr>
                <w:rFonts w:cs="Arial"/>
                <w:i/>
                <w:sz w:val="22"/>
              </w:rPr>
              <w:br/>
              <w:t>• Work with other sector organisations to ensure that a holistic approach is taken to access for disabled persons.</w:t>
            </w:r>
          </w:p>
          <w:p w:rsidR="008444D5" w:rsidRPr="008444D5" w:rsidRDefault="008444D5" w:rsidP="008444D5">
            <w:pPr>
              <w:rPr>
                <w:i/>
                <w:sz w:val="22"/>
              </w:rPr>
            </w:pPr>
          </w:p>
          <w:p w:rsidR="003A79FF" w:rsidRPr="008444D5" w:rsidRDefault="008444D5" w:rsidP="008444D5">
            <w:pPr>
              <w:rPr>
                <w:rFonts w:cs="Arial"/>
                <w:i/>
                <w:sz w:val="22"/>
              </w:rPr>
            </w:pPr>
            <w:r w:rsidRPr="008444D5">
              <w:rPr>
                <w:i/>
                <w:sz w:val="22"/>
              </w:rPr>
              <w:t>The Panels are voluntary organisations based throughout Highland.  The panels rely on volunteer members who have experience of the barriers faced in the environment and community, either through their own disability, or that of someone close to them</w:t>
            </w:r>
          </w:p>
          <w:p w:rsidR="00522380" w:rsidRDefault="00522380" w:rsidP="00B237C8">
            <w:pPr>
              <w:rPr>
                <w:rFonts w:cs="Arial"/>
                <w:szCs w:val="24"/>
              </w:rPr>
            </w:pPr>
          </w:p>
        </w:tc>
      </w:tr>
      <w:tr w:rsidR="004739D1" w:rsidTr="00646A49">
        <w:tc>
          <w:tcPr>
            <w:tcW w:w="3828" w:type="dxa"/>
          </w:tcPr>
          <w:p w:rsidR="004739D1" w:rsidRPr="006578F5" w:rsidRDefault="004739D1" w:rsidP="00746CAE">
            <w:pPr>
              <w:pStyle w:val="NoSpacing"/>
              <w:spacing w:after="120"/>
              <w:rPr>
                <w:lang w:val="en"/>
              </w:rPr>
            </w:pPr>
            <w:r>
              <w:rPr>
                <w:lang w:val="en"/>
              </w:rPr>
              <w:lastRenderedPageBreak/>
              <w:t>Who may be affected by the policy</w:t>
            </w:r>
          </w:p>
        </w:tc>
        <w:tc>
          <w:tcPr>
            <w:tcW w:w="5528" w:type="dxa"/>
            <w:gridSpan w:val="2"/>
          </w:tcPr>
          <w:p w:rsidR="003A6E16" w:rsidRDefault="00B237C8" w:rsidP="00C447E4">
            <w:pPr>
              <w:rPr>
                <w:rFonts w:cs="Arial"/>
                <w:i/>
                <w:sz w:val="22"/>
              </w:rPr>
            </w:pPr>
            <w:r w:rsidRPr="008444D5">
              <w:rPr>
                <w:rFonts w:cs="Arial"/>
                <w:i/>
                <w:sz w:val="22"/>
              </w:rPr>
              <w:t>Access Panels and associated volunteers who work to improve disabled access.</w:t>
            </w:r>
          </w:p>
          <w:p w:rsidR="008444D5" w:rsidRDefault="008444D5" w:rsidP="00C447E4">
            <w:pPr>
              <w:rPr>
                <w:rFonts w:cs="Arial"/>
                <w:i/>
                <w:sz w:val="22"/>
              </w:rPr>
            </w:pPr>
            <w:r>
              <w:rPr>
                <w:rFonts w:cs="Arial"/>
                <w:i/>
                <w:sz w:val="22"/>
              </w:rPr>
              <w:t>General public (esp. disabled people)</w:t>
            </w:r>
          </w:p>
          <w:p w:rsidR="008444D5" w:rsidRPr="008444D5" w:rsidRDefault="008444D5" w:rsidP="00C447E4">
            <w:pPr>
              <w:rPr>
                <w:rFonts w:cs="Arial"/>
                <w:i/>
                <w:sz w:val="22"/>
              </w:rPr>
            </w:pPr>
          </w:p>
        </w:tc>
      </w:tr>
      <w:tr w:rsidR="004739D1" w:rsidTr="00646A49">
        <w:tc>
          <w:tcPr>
            <w:tcW w:w="3828" w:type="dxa"/>
          </w:tcPr>
          <w:p w:rsidR="004739D1" w:rsidRPr="006578F5" w:rsidRDefault="004739D1" w:rsidP="004739D1">
            <w:pPr>
              <w:pStyle w:val="NoSpacing"/>
              <w:spacing w:after="120"/>
              <w:rPr>
                <w:lang w:val="en"/>
              </w:rPr>
            </w:pPr>
            <w:r>
              <w:rPr>
                <w:lang w:val="en"/>
              </w:rPr>
              <w:t>How have stakeholders been involved in the development of the policy?</w:t>
            </w:r>
          </w:p>
        </w:tc>
        <w:tc>
          <w:tcPr>
            <w:tcW w:w="5528" w:type="dxa"/>
            <w:gridSpan w:val="2"/>
          </w:tcPr>
          <w:p w:rsidR="009729D0" w:rsidRPr="008444D5" w:rsidRDefault="008444D5" w:rsidP="008444D5">
            <w:pPr>
              <w:rPr>
                <w:rFonts w:cs="Arial"/>
                <w:i/>
                <w:sz w:val="22"/>
              </w:rPr>
            </w:pPr>
            <w:r>
              <w:rPr>
                <w:rFonts w:cs="Arial"/>
                <w:i/>
                <w:sz w:val="22"/>
              </w:rPr>
              <w:t>This is a budget proposal - t</w:t>
            </w:r>
            <w:r w:rsidR="00B237C8" w:rsidRPr="008444D5">
              <w:rPr>
                <w:rFonts w:cs="Arial"/>
                <w:i/>
                <w:sz w:val="22"/>
              </w:rPr>
              <w:t>here has been no stakeholder involvement.</w:t>
            </w:r>
          </w:p>
        </w:tc>
      </w:tr>
      <w:tr w:rsidR="00646A49" w:rsidTr="00646A49">
        <w:tc>
          <w:tcPr>
            <w:tcW w:w="9356" w:type="dxa"/>
            <w:gridSpan w:val="3"/>
          </w:tcPr>
          <w:p w:rsidR="00646A49" w:rsidRDefault="00646A49" w:rsidP="008B5704">
            <w:pPr>
              <w:rPr>
                <w:i/>
                <w:lang w:val="en"/>
              </w:rPr>
            </w:pPr>
            <w:r w:rsidRPr="00646A49">
              <w:rPr>
                <w:i/>
                <w:lang w:val="en"/>
              </w:rPr>
              <w:t>Which parts of the public sector duty is the policy relevant to?</w:t>
            </w:r>
          </w:p>
          <w:p w:rsidR="00646A49" w:rsidRPr="00646A49" w:rsidRDefault="00646A49" w:rsidP="008B5704">
            <w:pPr>
              <w:rPr>
                <w:rFonts w:cs="Arial"/>
                <w:i/>
                <w:szCs w:val="24"/>
              </w:rPr>
            </w:pPr>
          </w:p>
        </w:tc>
      </w:tr>
      <w:bookmarkEnd w:id="0"/>
      <w:tr w:rsidR="00DF315E" w:rsidTr="00646A49">
        <w:tc>
          <w:tcPr>
            <w:tcW w:w="3828" w:type="dxa"/>
          </w:tcPr>
          <w:p w:rsidR="00DF315E" w:rsidRPr="00436048" w:rsidRDefault="00DF315E" w:rsidP="00DF315E">
            <w:pPr>
              <w:pStyle w:val="ListParagraph"/>
              <w:numPr>
                <w:ilvl w:val="0"/>
                <w:numId w:val="10"/>
              </w:numPr>
              <w:rPr>
                <w:bCs/>
              </w:rPr>
            </w:pPr>
            <w:r w:rsidRPr="00436048">
              <w:rPr>
                <w:bCs/>
                <w:lang w:val="en-GB"/>
              </w:rPr>
              <w:t>Eliminate unlawful discrimination</w:t>
            </w:r>
          </w:p>
        </w:tc>
        <w:tc>
          <w:tcPr>
            <w:tcW w:w="567" w:type="dxa"/>
          </w:tcPr>
          <w:p w:rsidR="00DF315E" w:rsidRDefault="00B237C8" w:rsidP="003F07DA">
            <w:r>
              <w:sym w:font="Wingdings" w:char="F0FC"/>
            </w:r>
          </w:p>
        </w:tc>
        <w:tc>
          <w:tcPr>
            <w:tcW w:w="4961" w:type="dxa"/>
          </w:tcPr>
          <w:p w:rsidR="00DF315E" w:rsidRPr="008444D5" w:rsidRDefault="00F73767" w:rsidP="003F07DA">
            <w:pPr>
              <w:rPr>
                <w:i/>
                <w:sz w:val="22"/>
              </w:rPr>
            </w:pPr>
            <w:r w:rsidRPr="008444D5">
              <w:rPr>
                <w:i/>
                <w:sz w:val="22"/>
              </w:rPr>
              <w:t>Aims of the Panels include removing barriers and addressing discrimination with a focus in disabled people.</w:t>
            </w:r>
          </w:p>
        </w:tc>
      </w:tr>
      <w:tr w:rsidR="00DF315E" w:rsidTr="00646A49">
        <w:tc>
          <w:tcPr>
            <w:tcW w:w="3828" w:type="dxa"/>
          </w:tcPr>
          <w:p w:rsidR="00DF315E" w:rsidRPr="00436048" w:rsidRDefault="00DF315E" w:rsidP="00DF315E">
            <w:pPr>
              <w:pStyle w:val="ListParagraph"/>
              <w:numPr>
                <w:ilvl w:val="0"/>
                <w:numId w:val="10"/>
              </w:numPr>
              <w:rPr>
                <w:bCs/>
              </w:rPr>
            </w:pPr>
            <w:r w:rsidRPr="00436048">
              <w:rPr>
                <w:bCs/>
                <w:lang w:val="en-GB"/>
              </w:rPr>
              <w:t>Advance equality</w:t>
            </w:r>
          </w:p>
        </w:tc>
        <w:tc>
          <w:tcPr>
            <w:tcW w:w="567" w:type="dxa"/>
          </w:tcPr>
          <w:p w:rsidR="00DF315E" w:rsidRDefault="00B237C8" w:rsidP="003F07DA">
            <w:r>
              <w:sym w:font="Wingdings" w:char="F0FC"/>
            </w:r>
          </w:p>
        </w:tc>
        <w:tc>
          <w:tcPr>
            <w:tcW w:w="4961" w:type="dxa"/>
          </w:tcPr>
          <w:p w:rsidR="00DF315E" w:rsidRPr="008444D5" w:rsidRDefault="00F73767" w:rsidP="003F07DA">
            <w:pPr>
              <w:rPr>
                <w:i/>
                <w:sz w:val="22"/>
              </w:rPr>
            </w:pPr>
            <w:r w:rsidRPr="008444D5">
              <w:rPr>
                <w:i/>
                <w:sz w:val="22"/>
              </w:rPr>
              <w:t>Panels aim to increase inclusion and access</w:t>
            </w:r>
          </w:p>
          <w:p w:rsidR="0066744C" w:rsidRPr="008444D5" w:rsidRDefault="0066744C" w:rsidP="003F07DA">
            <w:pPr>
              <w:rPr>
                <w:i/>
                <w:sz w:val="22"/>
              </w:rPr>
            </w:pPr>
          </w:p>
        </w:tc>
      </w:tr>
      <w:tr w:rsidR="00DF315E" w:rsidTr="00646A49">
        <w:tc>
          <w:tcPr>
            <w:tcW w:w="3828" w:type="dxa"/>
          </w:tcPr>
          <w:p w:rsidR="00DF315E" w:rsidRPr="003B144D" w:rsidRDefault="00DF315E" w:rsidP="00DF315E">
            <w:pPr>
              <w:pStyle w:val="ListParagraph"/>
              <w:numPr>
                <w:ilvl w:val="0"/>
                <w:numId w:val="10"/>
              </w:numPr>
            </w:pPr>
            <w:r w:rsidRPr="00436048">
              <w:rPr>
                <w:bCs/>
                <w:lang w:val="en-GB"/>
              </w:rPr>
              <w:t>Promote good relations</w:t>
            </w:r>
          </w:p>
        </w:tc>
        <w:tc>
          <w:tcPr>
            <w:tcW w:w="567" w:type="dxa"/>
          </w:tcPr>
          <w:p w:rsidR="00DF315E" w:rsidRDefault="00B237C8" w:rsidP="003F07DA">
            <w:r>
              <w:sym w:font="Wingdings" w:char="F0FC"/>
            </w:r>
          </w:p>
        </w:tc>
        <w:tc>
          <w:tcPr>
            <w:tcW w:w="4961" w:type="dxa"/>
          </w:tcPr>
          <w:p w:rsidR="00DF315E" w:rsidRPr="008444D5" w:rsidRDefault="00F73767" w:rsidP="003F07DA">
            <w:pPr>
              <w:rPr>
                <w:i/>
                <w:sz w:val="22"/>
              </w:rPr>
            </w:pPr>
            <w:r w:rsidRPr="008444D5">
              <w:rPr>
                <w:i/>
                <w:sz w:val="22"/>
              </w:rPr>
              <w:t>Between disabled people and non-disabled</w:t>
            </w:r>
          </w:p>
          <w:p w:rsidR="005B6980" w:rsidRPr="008444D5" w:rsidRDefault="005B6980" w:rsidP="003F07DA">
            <w:pPr>
              <w:rPr>
                <w:i/>
                <w:sz w:val="22"/>
              </w:rPr>
            </w:pPr>
          </w:p>
        </w:tc>
      </w:tr>
    </w:tbl>
    <w:p w:rsidR="007D5762" w:rsidRDefault="007D5762" w:rsidP="007D5762">
      <w:pPr>
        <w:rPr>
          <w:b/>
          <w:bCs/>
        </w:rPr>
      </w:pPr>
    </w:p>
    <w:p w:rsidR="007D5762" w:rsidRPr="007D5762" w:rsidRDefault="007B5512" w:rsidP="007D5762">
      <w:pPr>
        <w:rPr>
          <w:i/>
        </w:rPr>
      </w:pPr>
      <w:r>
        <w:rPr>
          <w:b/>
          <w:bCs/>
          <w:i/>
        </w:rPr>
        <w:t xml:space="preserve">Screening: </w:t>
      </w:r>
      <w:r w:rsidR="007D5762" w:rsidRPr="007D5762">
        <w:rPr>
          <w:b/>
          <w:bCs/>
          <w:i/>
        </w:rPr>
        <w:t>Which of the protected characteristics is the policy relevant to?</w:t>
      </w:r>
      <w:r w:rsidR="007D5762" w:rsidRPr="007D5762">
        <w:rPr>
          <w:i/>
        </w:rPr>
        <w:t xml:space="preserve"> Tick and briefly describe any likely equalities impact (positive/negative/neutral). </w:t>
      </w:r>
    </w:p>
    <w:tbl>
      <w:tblPr>
        <w:tblStyle w:val="TableGrid"/>
        <w:tblW w:w="0" w:type="auto"/>
        <w:tblLook w:val="04A0" w:firstRow="1" w:lastRow="0" w:firstColumn="1" w:lastColumn="0" w:noHBand="0" w:noVBand="1"/>
      </w:tblPr>
      <w:tblGrid>
        <w:gridCol w:w="2652"/>
        <w:gridCol w:w="1060"/>
        <w:gridCol w:w="1134"/>
        <w:gridCol w:w="1063"/>
        <w:gridCol w:w="3333"/>
      </w:tblGrid>
      <w:tr w:rsidR="007D5762" w:rsidRPr="00F5769F" w:rsidTr="007D5762">
        <w:tc>
          <w:tcPr>
            <w:tcW w:w="2652" w:type="dxa"/>
          </w:tcPr>
          <w:p w:rsidR="007D5762" w:rsidRPr="00F5769F" w:rsidRDefault="007D5762" w:rsidP="003F07DA">
            <w:pPr>
              <w:rPr>
                <w:b/>
                <w:sz w:val="22"/>
              </w:rPr>
            </w:pPr>
            <w:r w:rsidRPr="00F5769F">
              <w:rPr>
                <w:b/>
                <w:sz w:val="22"/>
              </w:rPr>
              <w:t>Characteristic</w:t>
            </w:r>
          </w:p>
        </w:tc>
        <w:tc>
          <w:tcPr>
            <w:tcW w:w="1060" w:type="dxa"/>
          </w:tcPr>
          <w:p w:rsidR="007D5762" w:rsidRPr="00F5769F" w:rsidRDefault="007D5762" w:rsidP="003F07DA">
            <w:pPr>
              <w:jc w:val="center"/>
              <w:rPr>
                <w:b/>
                <w:sz w:val="22"/>
              </w:rPr>
            </w:pPr>
            <w:r w:rsidRPr="00F5769F">
              <w:rPr>
                <w:b/>
                <w:sz w:val="22"/>
              </w:rPr>
              <w:t>Positive</w:t>
            </w:r>
          </w:p>
        </w:tc>
        <w:tc>
          <w:tcPr>
            <w:tcW w:w="1134" w:type="dxa"/>
          </w:tcPr>
          <w:p w:rsidR="007D5762" w:rsidRPr="00F5769F" w:rsidRDefault="007D5762" w:rsidP="003F07DA">
            <w:pPr>
              <w:jc w:val="center"/>
              <w:rPr>
                <w:b/>
                <w:sz w:val="22"/>
              </w:rPr>
            </w:pPr>
            <w:r w:rsidRPr="00F5769F">
              <w:rPr>
                <w:b/>
                <w:sz w:val="22"/>
              </w:rPr>
              <w:t>Negative</w:t>
            </w:r>
          </w:p>
        </w:tc>
        <w:tc>
          <w:tcPr>
            <w:tcW w:w="1063" w:type="dxa"/>
          </w:tcPr>
          <w:p w:rsidR="007D5762" w:rsidRPr="00F5769F" w:rsidRDefault="007D5762" w:rsidP="003F07DA">
            <w:pPr>
              <w:jc w:val="center"/>
              <w:rPr>
                <w:b/>
                <w:sz w:val="22"/>
              </w:rPr>
            </w:pPr>
            <w:r w:rsidRPr="00F5769F">
              <w:rPr>
                <w:b/>
                <w:sz w:val="22"/>
              </w:rPr>
              <w:t>Neutral</w:t>
            </w:r>
          </w:p>
        </w:tc>
        <w:tc>
          <w:tcPr>
            <w:tcW w:w="3333" w:type="dxa"/>
          </w:tcPr>
          <w:p w:rsidR="007D5762" w:rsidRPr="00F5769F" w:rsidRDefault="007D5762" w:rsidP="003F07DA">
            <w:pPr>
              <w:jc w:val="center"/>
              <w:rPr>
                <w:b/>
                <w:sz w:val="22"/>
              </w:rPr>
            </w:pPr>
            <w:r w:rsidRPr="00F5769F">
              <w:rPr>
                <w:b/>
                <w:sz w:val="22"/>
              </w:rPr>
              <w:t>comments</w:t>
            </w:r>
          </w:p>
        </w:tc>
      </w:tr>
      <w:tr w:rsidR="007D5762" w:rsidTr="007D5762">
        <w:tc>
          <w:tcPr>
            <w:tcW w:w="2652" w:type="dxa"/>
          </w:tcPr>
          <w:p w:rsidR="007D5762" w:rsidRDefault="007D5762" w:rsidP="003F07DA">
            <w:r>
              <w:t>Gender</w:t>
            </w:r>
          </w:p>
          <w:p w:rsidR="007D5762" w:rsidRDefault="007D5762" w:rsidP="003F07DA"/>
        </w:tc>
        <w:tc>
          <w:tcPr>
            <w:tcW w:w="1060" w:type="dxa"/>
          </w:tcPr>
          <w:p w:rsidR="007D5762" w:rsidRDefault="007D5762" w:rsidP="003F07DA"/>
        </w:tc>
        <w:tc>
          <w:tcPr>
            <w:tcW w:w="1134" w:type="dxa"/>
          </w:tcPr>
          <w:p w:rsidR="007D5762" w:rsidRDefault="003A79FF" w:rsidP="003F07DA">
            <w:r>
              <w:sym w:font="Wingdings" w:char="F0FC"/>
            </w:r>
          </w:p>
        </w:tc>
        <w:tc>
          <w:tcPr>
            <w:tcW w:w="1063" w:type="dxa"/>
          </w:tcPr>
          <w:p w:rsidR="007D5762" w:rsidRDefault="007D5762" w:rsidP="003F07DA">
            <w:pPr>
              <w:pStyle w:val="ListParagraph"/>
              <w:ind w:left="0"/>
              <w:rPr>
                <w:bCs/>
                <w:lang w:val="en-GB"/>
              </w:rPr>
            </w:pPr>
          </w:p>
        </w:tc>
        <w:tc>
          <w:tcPr>
            <w:tcW w:w="3333" w:type="dxa"/>
          </w:tcPr>
          <w:p w:rsidR="003A79FF" w:rsidRPr="008444D5" w:rsidRDefault="003A79FF" w:rsidP="003A79FF">
            <w:pPr>
              <w:pStyle w:val="Default"/>
              <w:rPr>
                <w:sz w:val="22"/>
                <w:szCs w:val="22"/>
              </w:rPr>
            </w:pPr>
            <w:r w:rsidRPr="008444D5">
              <w:rPr>
                <w:sz w:val="22"/>
                <w:szCs w:val="22"/>
              </w:rPr>
              <w:t xml:space="preserve">Improved to access to the build environment may also increase access for pregnant women and parents with pushchairs. </w:t>
            </w:r>
          </w:p>
          <w:p w:rsidR="007D5762" w:rsidRPr="008444D5" w:rsidRDefault="007D5762" w:rsidP="003F07DA">
            <w:pPr>
              <w:rPr>
                <w:sz w:val="22"/>
              </w:rPr>
            </w:pPr>
          </w:p>
        </w:tc>
      </w:tr>
      <w:tr w:rsidR="007D5762" w:rsidTr="007D5762">
        <w:tc>
          <w:tcPr>
            <w:tcW w:w="2652" w:type="dxa"/>
          </w:tcPr>
          <w:p w:rsidR="007D5762" w:rsidRDefault="007D5762" w:rsidP="003F07DA">
            <w:r>
              <w:t>Age</w:t>
            </w:r>
          </w:p>
          <w:p w:rsidR="007D5762" w:rsidRDefault="007D5762" w:rsidP="003F07DA"/>
        </w:tc>
        <w:tc>
          <w:tcPr>
            <w:tcW w:w="1060" w:type="dxa"/>
          </w:tcPr>
          <w:p w:rsidR="007D5762" w:rsidRDefault="007D5762" w:rsidP="003F07DA"/>
        </w:tc>
        <w:tc>
          <w:tcPr>
            <w:tcW w:w="1134" w:type="dxa"/>
          </w:tcPr>
          <w:p w:rsidR="007D5762" w:rsidRDefault="00B237C8" w:rsidP="003F07DA">
            <w:r>
              <w:sym w:font="Wingdings" w:char="F0FC"/>
            </w:r>
          </w:p>
        </w:tc>
        <w:tc>
          <w:tcPr>
            <w:tcW w:w="1063" w:type="dxa"/>
          </w:tcPr>
          <w:p w:rsidR="007D5762" w:rsidRDefault="007D5762" w:rsidP="003F07DA">
            <w:pPr>
              <w:pStyle w:val="ListParagraph"/>
              <w:ind w:left="0"/>
              <w:rPr>
                <w:bCs/>
                <w:lang w:val="en-GB"/>
              </w:rPr>
            </w:pPr>
          </w:p>
        </w:tc>
        <w:tc>
          <w:tcPr>
            <w:tcW w:w="3333" w:type="dxa"/>
          </w:tcPr>
          <w:p w:rsidR="003A79FF" w:rsidRPr="008444D5" w:rsidRDefault="003A79FF" w:rsidP="00F73767">
            <w:pPr>
              <w:rPr>
                <w:sz w:val="22"/>
              </w:rPr>
            </w:pPr>
            <w:r w:rsidRPr="008444D5">
              <w:rPr>
                <w:sz w:val="22"/>
              </w:rPr>
              <w:t>Likelihood of disability, mobility difficulties increase with age</w:t>
            </w:r>
          </w:p>
          <w:p w:rsidR="00CC751E" w:rsidRPr="008444D5" w:rsidRDefault="00CC751E" w:rsidP="003F07DA">
            <w:pPr>
              <w:rPr>
                <w:sz w:val="22"/>
              </w:rPr>
            </w:pPr>
          </w:p>
        </w:tc>
      </w:tr>
      <w:tr w:rsidR="007D5762" w:rsidTr="007D5762">
        <w:tc>
          <w:tcPr>
            <w:tcW w:w="2652" w:type="dxa"/>
          </w:tcPr>
          <w:p w:rsidR="007D5762" w:rsidRDefault="007D5762" w:rsidP="003F07DA">
            <w:r>
              <w:t>Disability</w:t>
            </w:r>
          </w:p>
          <w:p w:rsidR="007D5762" w:rsidRDefault="007D5762" w:rsidP="003F07DA"/>
        </w:tc>
        <w:tc>
          <w:tcPr>
            <w:tcW w:w="1060" w:type="dxa"/>
          </w:tcPr>
          <w:p w:rsidR="007D5762" w:rsidRDefault="007D5762" w:rsidP="003F07DA"/>
        </w:tc>
        <w:tc>
          <w:tcPr>
            <w:tcW w:w="1134" w:type="dxa"/>
          </w:tcPr>
          <w:p w:rsidR="007D5762" w:rsidRDefault="00A51024" w:rsidP="003F07DA">
            <w:r>
              <w:sym w:font="Wingdings" w:char="F0FC"/>
            </w:r>
          </w:p>
        </w:tc>
        <w:tc>
          <w:tcPr>
            <w:tcW w:w="1063" w:type="dxa"/>
          </w:tcPr>
          <w:p w:rsidR="007D5762" w:rsidRDefault="007D5762" w:rsidP="003F07DA"/>
        </w:tc>
        <w:tc>
          <w:tcPr>
            <w:tcW w:w="3333" w:type="dxa"/>
          </w:tcPr>
          <w:p w:rsidR="00F73767" w:rsidRPr="008444D5" w:rsidRDefault="003A79FF" w:rsidP="00F73767">
            <w:pPr>
              <w:pStyle w:val="Default"/>
              <w:rPr>
                <w:sz w:val="22"/>
                <w:szCs w:val="22"/>
              </w:rPr>
            </w:pPr>
            <w:r w:rsidRPr="008444D5">
              <w:rPr>
                <w:sz w:val="22"/>
                <w:szCs w:val="22"/>
              </w:rPr>
              <w:t>Primary focus of Access Panels is to improve access for disabled people which should result in improved access for all.</w:t>
            </w:r>
          </w:p>
          <w:p w:rsidR="007B5512" w:rsidRPr="008444D5" w:rsidRDefault="007B5512" w:rsidP="007B5512">
            <w:pPr>
              <w:rPr>
                <w:sz w:val="22"/>
              </w:rPr>
            </w:pPr>
          </w:p>
        </w:tc>
      </w:tr>
      <w:tr w:rsidR="007D5762" w:rsidTr="007D5762">
        <w:tc>
          <w:tcPr>
            <w:tcW w:w="2652" w:type="dxa"/>
          </w:tcPr>
          <w:p w:rsidR="007D5762" w:rsidRDefault="007D5762" w:rsidP="003F07DA">
            <w:r>
              <w:t>Religion or Belief</w:t>
            </w:r>
          </w:p>
          <w:p w:rsidR="007D5762" w:rsidRDefault="007D5762" w:rsidP="003F07DA"/>
        </w:tc>
        <w:tc>
          <w:tcPr>
            <w:tcW w:w="1060" w:type="dxa"/>
          </w:tcPr>
          <w:p w:rsidR="007D5762" w:rsidRDefault="007D5762" w:rsidP="003F07DA"/>
        </w:tc>
        <w:tc>
          <w:tcPr>
            <w:tcW w:w="1134" w:type="dxa"/>
          </w:tcPr>
          <w:p w:rsidR="007D5762" w:rsidRDefault="007D5762" w:rsidP="003F07DA"/>
        </w:tc>
        <w:tc>
          <w:tcPr>
            <w:tcW w:w="1063" w:type="dxa"/>
          </w:tcPr>
          <w:p w:rsidR="007D5762" w:rsidRDefault="00D076B8" w:rsidP="003F07DA">
            <w:r>
              <w:sym w:font="Wingdings" w:char="F0FC"/>
            </w:r>
          </w:p>
        </w:tc>
        <w:tc>
          <w:tcPr>
            <w:tcW w:w="3333" w:type="dxa"/>
          </w:tcPr>
          <w:p w:rsidR="007D5762" w:rsidRDefault="007D5762" w:rsidP="003F07DA"/>
        </w:tc>
      </w:tr>
      <w:tr w:rsidR="007D5762" w:rsidTr="007D5762">
        <w:tc>
          <w:tcPr>
            <w:tcW w:w="2652" w:type="dxa"/>
          </w:tcPr>
          <w:p w:rsidR="007D5762" w:rsidRDefault="007D5762" w:rsidP="003F07DA">
            <w:r>
              <w:t>Race</w:t>
            </w:r>
          </w:p>
          <w:p w:rsidR="007D5762" w:rsidRDefault="007D5762" w:rsidP="003F07DA"/>
        </w:tc>
        <w:tc>
          <w:tcPr>
            <w:tcW w:w="1060" w:type="dxa"/>
          </w:tcPr>
          <w:p w:rsidR="007D5762" w:rsidRDefault="007D5762" w:rsidP="003F07DA"/>
        </w:tc>
        <w:tc>
          <w:tcPr>
            <w:tcW w:w="1134" w:type="dxa"/>
          </w:tcPr>
          <w:p w:rsidR="007D5762" w:rsidRDefault="007D5762" w:rsidP="003F07DA"/>
        </w:tc>
        <w:tc>
          <w:tcPr>
            <w:tcW w:w="1063" w:type="dxa"/>
          </w:tcPr>
          <w:p w:rsidR="007D5762" w:rsidRDefault="00D076B8" w:rsidP="003F07DA">
            <w:r>
              <w:sym w:font="Wingdings" w:char="F0FC"/>
            </w:r>
          </w:p>
        </w:tc>
        <w:tc>
          <w:tcPr>
            <w:tcW w:w="3333" w:type="dxa"/>
          </w:tcPr>
          <w:p w:rsidR="007D5762" w:rsidRDefault="007D5762" w:rsidP="003F07DA"/>
        </w:tc>
      </w:tr>
      <w:tr w:rsidR="007D5762" w:rsidTr="007D5762">
        <w:tc>
          <w:tcPr>
            <w:tcW w:w="2652" w:type="dxa"/>
          </w:tcPr>
          <w:p w:rsidR="007D5762" w:rsidRDefault="007D5762" w:rsidP="003F07DA">
            <w:r>
              <w:t>Sexual Orientation</w:t>
            </w:r>
          </w:p>
          <w:p w:rsidR="007D5762" w:rsidRDefault="007D5762" w:rsidP="003F07DA"/>
        </w:tc>
        <w:tc>
          <w:tcPr>
            <w:tcW w:w="1060" w:type="dxa"/>
          </w:tcPr>
          <w:p w:rsidR="007D5762" w:rsidRDefault="007D5762" w:rsidP="003F07DA"/>
        </w:tc>
        <w:tc>
          <w:tcPr>
            <w:tcW w:w="1134" w:type="dxa"/>
          </w:tcPr>
          <w:p w:rsidR="007D5762" w:rsidRDefault="007D5762" w:rsidP="003F07DA"/>
        </w:tc>
        <w:tc>
          <w:tcPr>
            <w:tcW w:w="1063" w:type="dxa"/>
          </w:tcPr>
          <w:p w:rsidR="007D5762" w:rsidRDefault="00D076B8" w:rsidP="003F07DA">
            <w:r>
              <w:sym w:font="Wingdings" w:char="F0FC"/>
            </w:r>
          </w:p>
        </w:tc>
        <w:tc>
          <w:tcPr>
            <w:tcW w:w="3333" w:type="dxa"/>
          </w:tcPr>
          <w:p w:rsidR="007D5762" w:rsidRDefault="007D5762" w:rsidP="003F07DA"/>
        </w:tc>
      </w:tr>
      <w:tr w:rsidR="007D5762" w:rsidTr="007D5762">
        <w:tc>
          <w:tcPr>
            <w:tcW w:w="2652" w:type="dxa"/>
          </w:tcPr>
          <w:p w:rsidR="007D5762" w:rsidRDefault="007D5762" w:rsidP="003F07DA">
            <w:r>
              <w:lastRenderedPageBreak/>
              <w:t>Gender reassignment</w:t>
            </w:r>
          </w:p>
          <w:p w:rsidR="007D5762" w:rsidRDefault="007D5762" w:rsidP="003F07DA"/>
        </w:tc>
        <w:tc>
          <w:tcPr>
            <w:tcW w:w="1060" w:type="dxa"/>
          </w:tcPr>
          <w:p w:rsidR="007D5762" w:rsidRDefault="007D5762" w:rsidP="003F07DA"/>
        </w:tc>
        <w:tc>
          <w:tcPr>
            <w:tcW w:w="1134" w:type="dxa"/>
          </w:tcPr>
          <w:p w:rsidR="007D5762" w:rsidRDefault="007D5762" w:rsidP="003F07DA"/>
        </w:tc>
        <w:tc>
          <w:tcPr>
            <w:tcW w:w="1063" w:type="dxa"/>
          </w:tcPr>
          <w:p w:rsidR="007D5762" w:rsidRDefault="00D076B8" w:rsidP="003F07DA">
            <w:r>
              <w:sym w:font="Wingdings" w:char="F0FC"/>
            </w:r>
          </w:p>
        </w:tc>
        <w:tc>
          <w:tcPr>
            <w:tcW w:w="3333" w:type="dxa"/>
          </w:tcPr>
          <w:p w:rsidR="007D5762" w:rsidRDefault="007D5762" w:rsidP="003F07DA"/>
        </w:tc>
      </w:tr>
      <w:tr w:rsidR="003A79FF" w:rsidTr="007D5762">
        <w:tc>
          <w:tcPr>
            <w:tcW w:w="2652" w:type="dxa"/>
          </w:tcPr>
          <w:p w:rsidR="003A79FF" w:rsidRDefault="003A79FF" w:rsidP="003F07DA">
            <w:r>
              <w:t>Pregnancy/maternity</w:t>
            </w:r>
          </w:p>
          <w:p w:rsidR="003A79FF" w:rsidRDefault="003A79FF" w:rsidP="003F07DA"/>
        </w:tc>
        <w:tc>
          <w:tcPr>
            <w:tcW w:w="1060" w:type="dxa"/>
          </w:tcPr>
          <w:p w:rsidR="003A79FF" w:rsidRDefault="003A79FF" w:rsidP="003F07DA"/>
        </w:tc>
        <w:tc>
          <w:tcPr>
            <w:tcW w:w="1134" w:type="dxa"/>
          </w:tcPr>
          <w:p w:rsidR="003A79FF" w:rsidRDefault="003A79FF" w:rsidP="003F07DA">
            <w:r>
              <w:sym w:font="Wingdings" w:char="F0FC"/>
            </w:r>
          </w:p>
        </w:tc>
        <w:tc>
          <w:tcPr>
            <w:tcW w:w="1063" w:type="dxa"/>
          </w:tcPr>
          <w:p w:rsidR="003A79FF" w:rsidRDefault="003A79FF" w:rsidP="003F07DA"/>
        </w:tc>
        <w:tc>
          <w:tcPr>
            <w:tcW w:w="3333" w:type="dxa"/>
          </w:tcPr>
          <w:p w:rsidR="003A79FF" w:rsidRPr="008444D5" w:rsidRDefault="003A79FF" w:rsidP="00B85E52">
            <w:pPr>
              <w:pStyle w:val="Default"/>
              <w:rPr>
                <w:sz w:val="22"/>
                <w:szCs w:val="22"/>
              </w:rPr>
            </w:pPr>
            <w:r w:rsidRPr="008444D5">
              <w:rPr>
                <w:sz w:val="22"/>
                <w:szCs w:val="22"/>
              </w:rPr>
              <w:t xml:space="preserve">Improved to access to the build environment may also increase access for pregnant women and parents with pushchairs. </w:t>
            </w:r>
          </w:p>
          <w:p w:rsidR="003A79FF" w:rsidRDefault="003A79FF" w:rsidP="00B85E52"/>
        </w:tc>
      </w:tr>
      <w:tr w:rsidR="003A79FF" w:rsidTr="007D5762">
        <w:tc>
          <w:tcPr>
            <w:tcW w:w="2652" w:type="dxa"/>
          </w:tcPr>
          <w:p w:rsidR="003A79FF" w:rsidRDefault="003A79FF" w:rsidP="003F07DA">
            <w:r>
              <w:t>Marriage and Civil Partnership*</w:t>
            </w:r>
          </w:p>
        </w:tc>
        <w:tc>
          <w:tcPr>
            <w:tcW w:w="1060" w:type="dxa"/>
          </w:tcPr>
          <w:p w:rsidR="003A79FF" w:rsidRDefault="003A79FF" w:rsidP="003F07DA"/>
        </w:tc>
        <w:tc>
          <w:tcPr>
            <w:tcW w:w="1134" w:type="dxa"/>
          </w:tcPr>
          <w:p w:rsidR="003A79FF" w:rsidRDefault="003A79FF" w:rsidP="003F07DA"/>
        </w:tc>
        <w:tc>
          <w:tcPr>
            <w:tcW w:w="1063" w:type="dxa"/>
          </w:tcPr>
          <w:p w:rsidR="003A79FF" w:rsidRDefault="003A79FF" w:rsidP="003F07DA">
            <w:r>
              <w:sym w:font="Wingdings" w:char="F0FC"/>
            </w:r>
          </w:p>
        </w:tc>
        <w:tc>
          <w:tcPr>
            <w:tcW w:w="3333" w:type="dxa"/>
          </w:tcPr>
          <w:p w:rsidR="003A79FF" w:rsidRDefault="003A79FF" w:rsidP="003F07DA"/>
        </w:tc>
      </w:tr>
    </w:tbl>
    <w:p w:rsidR="00185361" w:rsidRDefault="000A1F15" w:rsidP="003A79FF">
      <w:pPr>
        <w:pStyle w:val="NoSpacing"/>
        <w:spacing w:after="120"/>
        <w:rPr>
          <w:lang w:val="en"/>
        </w:rPr>
      </w:pPr>
      <w:r>
        <w:rPr>
          <w:sz w:val="22"/>
        </w:rPr>
        <w:t>*</w:t>
      </w:r>
      <w:r w:rsidRPr="00F63714">
        <w:rPr>
          <w:sz w:val="22"/>
        </w:rPr>
        <w:t>applies only to Employment and the duty to give regard to the elimination of discrimination</w:t>
      </w:r>
    </w:p>
    <w:p w:rsidR="003A79FF" w:rsidRDefault="003A79FF" w:rsidP="003A79FF">
      <w:pPr>
        <w:pStyle w:val="NoSpacing"/>
        <w:spacing w:line="276" w:lineRule="auto"/>
        <w:rPr>
          <w:rFonts w:eastAsia="Times New Roman" w:cs="Arial"/>
          <w:b/>
          <w:szCs w:val="24"/>
          <w:lang w:val="en"/>
        </w:rPr>
      </w:pPr>
    </w:p>
    <w:p w:rsidR="00110F09" w:rsidRPr="003A79FF" w:rsidRDefault="002B65C5" w:rsidP="003A79FF">
      <w:pPr>
        <w:pStyle w:val="NoSpacing"/>
        <w:spacing w:line="276" w:lineRule="auto"/>
        <w:rPr>
          <w:lang w:val="en"/>
        </w:rPr>
      </w:pPr>
      <w:r w:rsidRPr="00CD3BD3">
        <w:rPr>
          <w:rFonts w:eastAsia="Times New Roman" w:cs="Arial"/>
          <w:b/>
          <w:szCs w:val="24"/>
          <w:lang w:val="en"/>
        </w:rPr>
        <w:t>Recommend this policy for full Equality Impact Assessment?</w:t>
      </w:r>
      <w:r>
        <w:rPr>
          <w:rFonts w:eastAsia="Times New Roman" w:cs="Arial"/>
          <w:szCs w:val="24"/>
          <w:lang w:val="en"/>
        </w:rPr>
        <w:t xml:space="preserve"> </w:t>
      </w:r>
      <w:r>
        <w:rPr>
          <w:b/>
          <w:lang w:val="en"/>
        </w:rPr>
        <w:t>Yes</w:t>
      </w:r>
    </w:p>
    <w:p w:rsidR="002B65C5" w:rsidRDefault="002B65C5" w:rsidP="002B65C5">
      <w:pPr>
        <w:pStyle w:val="NoSpacing"/>
        <w:spacing w:line="276" w:lineRule="auto"/>
        <w:rPr>
          <w:lang w:val="en"/>
        </w:rPr>
      </w:pPr>
      <w:r w:rsidRPr="004B4088">
        <w:rPr>
          <w:lang w:val="en"/>
        </w:rPr>
        <w:t xml:space="preserve">If </w:t>
      </w:r>
      <w:r>
        <w:rPr>
          <w:lang w:val="en"/>
        </w:rPr>
        <w:t xml:space="preserve">“Yes”, continue to the next section.  If </w:t>
      </w:r>
      <w:r w:rsidRPr="004B4088">
        <w:rPr>
          <w:lang w:val="en"/>
        </w:rPr>
        <w:t>"</w:t>
      </w:r>
      <w:r>
        <w:rPr>
          <w:lang w:val="en"/>
        </w:rPr>
        <w:t>No</w:t>
      </w:r>
      <w:r w:rsidRPr="004B4088">
        <w:rPr>
          <w:lang w:val="en"/>
        </w:rPr>
        <w:t>", please give brief reasons here</w:t>
      </w:r>
      <w:r>
        <w:rPr>
          <w:lang w:val="en"/>
        </w:rPr>
        <w:t>.</w:t>
      </w:r>
    </w:p>
    <w:tbl>
      <w:tblPr>
        <w:tblStyle w:val="TableGrid"/>
        <w:tblW w:w="0" w:type="auto"/>
        <w:tblLook w:val="04A0" w:firstRow="1" w:lastRow="0" w:firstColumn="1" w:lastColumn="0" w:noHBand="0" w:noVBand="1"/>
      </w:tblPr>
      <w:tblGrid>
        <w:gridCol w:w="9242"/>
      </w:tblGrid>
      <w:tr w:rsidR="000A1F15" w:rsidTr="000A1F15">
        <w:tc>
          <w:tcPr>
            <w:tcW w:w="9242" w:type="dxa"/>
          </w:tcPr>
          <w:p w:rsidR="000A1F15" w:rsidRDefault="000A1F15" w:rsidP="002B65C5">
            <w:pPr>
              <w:pStyle w:val="NoSpacing"/>
              <w:spacing w:line="276" w:lineRule="auto"/>
              <w:rPr>
                <w:lang w:val="en"/>
              </w:rPr>
            </w:pPr>
          </w:p>
          <w:p w:rsidR="000A1F15" w:rsidRDefault="000A1F15" w:rsidP="002B65C5">
            <w:pPr>
              <w:pStyle w:val="NoSpacing"/>
              <w:spacing w:line="276" w:lineRule="auto"/>
              <w:rPr>
                <w:lang w:val="en"/>
              </w:rPr>
            </w:pPr>
          </w:p>
        </w:tc>
      </w:tr>
    </w:tbl>
    <w:p w:rsidR="002B65C5" w:rsidRDefault="002B65C5" w:rsidP="00110F09">
      <w:pPr>
        <w:pStyle w:val="NoSpacing"/>
        <w:spacing w:after="120"/>
        <w:rPr>
          <w:b/>
          <w:lang w:val="en"/>
        </w:rPr>
      </w:pPr>
      <w:r>
        <w:rPr>
          <w:b/>
          <w:lang w:val="en"/>
        </w:rPr>
        <w:br w:type="page"/>
      </w:r>
    </w:p>
    <w:p w:rsidR="00185361" w:rsidRPr="00110F09" w:rsidRDefault="002B65C5" w:rsidP="00110F09">
      <w:pPr>
        <w:pStyle w:val="NoSpacing"/>
        <w:spacing w:after="120"/>
        <w:rPr>
          <w:b/>
          <w:lang w:val="en"/>
        </w:rPr>
      </w:pPr>
      <w:r>
        <w:rPr>
          <w:b/>
          <w:lang w:val="en"/>
        </w:rPr>
        <w:lastRenderedPageBreak/>
        <w:t xml:space="preserve">Equality impact </w:t>
      </w:r>
      <w:r w:rsidR="00110F09" w:rsidRPr="00110F09">
        <w:rPr>
          <w:b/>
          <w:lang w:val="en"/>
        </w:rPr>
        <w:t>Assessment:</w:t>
      </w:r>
    </w:p>
    <w:tbl>
      <w:tblPr>
        <w:tblStyle w:val="TableGrid"/>
        <w:tblW w:w="9356" w:type="dxa"/>
        <w:tblInd w:w="-34" w:type="dxa"/>
        <w:tblLook w:val="04A0" w:firstRow="1" w:lastRow="0" w:firstColumn="1" w:lastColumn="0" w:noHBand="0" w:noVBand="1"/>
      </w:tblPr>
      <w:tblGrid>
        <w:gridCol w:w="2836"/>
        <w:gridCol w:w="6520"/>
      </w:tblGrid>
      <w:tr w:rsidR="00C546A8" w:rsidTr="00C92108">
        <w:tc>
          <w:tcPr>
            <w:tcW w:w="9356" w:type="dxa"/>
            <w:gridSpan w:val="2"/>
          </w:tcPr>
          <w:p w:rsidR="00C546A8" w:rsidRPr="00C546A8" w:rsidRDefault="00C546A8" w:rsidP="00370B99">
            <w:pPr>
              <w:rPr>
                <w:rFonts w:cs="Arial"/>
                <w:b/>
                <w:szCs w:val="24"/>
                <w:lang w:eastAsia="en-US"/>
              </w:rPr>
            </w:pPr>
            <w:r w:rsidRPr="00C546A8">
              <w:rPr>
                <w:rFonts w:cs="Arial"/>
                <w:b/>
                <w:szCs w:val="24"/>
                <w:lang w:eastAsia="en-US"/>
              </w:rPr>
              <w:t>Evidence and consultation</w:t>
            </w:r>
          </w:p>
          <w:p w:rsidR="00C546A8" w:rsidRPr="00EB691F" w:rsidRDefault="00C546A8" w:rsidP="00370B99">
            <w:pPr>
              <w:rPr>
                <w:rFonts w:cs="Arial"/>
                <w:szCs w:val="24"/>
                <w:lang w:eastAsia="en-US"/>
              </w:rPr>
            </w:pPr>
          </w:p>
        </w:tc>
      </w:tr>
      <w:tr w:rsidR="00522380" w:rsidTr="009F65B1">
        <w:tc>
          <w:tcPr>
            <w:tcW w:w="9356" w:type="dxa"/>
            <w:gridSpan w:val="2"/>
          </w:tcPr>
          <w:p w:rsidR="00522380" w:rsidRPr="00110F09" w:rsidRDefault="00522380" w:rsidP="00110F09">
            <w:pPr>
              <w:rPr>
                <w:lang w:val="en"/>
              </w:rPr>
            </w:pPr>
            <w:r w:rsidRPr="00110F09">
              <w:rPr>
                <w:lang w:val="en"/>
              </w:rPr>
              <w:t>What existing sources of information have you gathered to help identify how people covered by the protected characteristics may be affected by this policy or service?</w:t>
            </w:r>
          </w:p>
          <w:p w:rsidR="00522380" w:rsidRPr="00110F09" w:rsidRDefault="00522380" w:rsidP="00370B99">
            <w:pPr>
              <w:pStyle w:val="ListParagraph"/>
              <w:ind w:left="0"/>
              <w:rPr>
                <w:bCs/>
                <w:lang w:val="en-GB"/>
              </w:rPr>
            </w:pPr>
            <w:proofErr w:type="spellStart"/>
            <w:r w:rsidRPr="00110F09">
              <w:rPr>
                <w:bCs/>
                <w:lang w:val="en-GB"/>
              </w:rPr>
              <w:t>Eg</w:t>
            </w:r>
            <w:proofErr w:type="spellEnd"/>
            <w:r w:rsidRPr="00110F09">
              <w:rPr>
                <w:bCs/>
                <w:lang w:val="en-GB"/>
              </w:rPr>
              <w:t xml:space="preserve"> Consultations, national or local data and/or research, complaints or customer feedback.  Are there gaps in available data?</w:t>
            </w:r>
          </w:p>
          <w:p w:rsidR="00522380" w:rsidRPr="00EB691F" w:rsidRDefault="00522380" w:rsidP="00370B99">
            <w:pPr>
              <w:rPr>
                <w:rFonts w:cs="Arial"/>
                <w:szCs w:val="24"/>
                <w:lang w:eastAsia="en-US"/>
              </w:rPr>
            </w:pPr>
          </w:p>
        </w:tc>
      </w:tr>
      <w:tr w:rsidR="00522380" w:rsidTr="00985CB3">
        <w:trPr>
          <w:trHeight w:val="870"/>
        </w:trPr>
        <w:tc>
          <w:tcPr>
            <w:tcW w:w="9356" w:type="dxa"/>
            <w:gridSpan w:val="2"/>
          </w:tcPr>
          <w:p w:rsidR="00522380" w:rsidRDefault="00522380" w:rsidP="00C546A8">
            <w:pPr>
              <w:pStyle w:val="NoSpacing"/>
              <w:spacing w:after="120"/>
              <w:rPr>
                <w:b/>
                <w:lang w:val="en"/>
              </w:rPr>
            </w:pPr>
          </w:p>
          <w:p w:rsidR="00522380" w:rsidRPr="008444D5" w:rsidRDefault="003A79FF" w:rsidP="00C546A8">
            <w:pPr>
              <w:pStyle w:val="NoSpacing"/>
              <w:spacing w:after="120"/>
              <w:rPr>
                <w:i/>
                <w:sz w:val="22"/>
                <w:lang w:val="en"/>
              </w:rPr>
            </w:pPr>
            <w:r w:rsidRPr="008444D5">
              <w:rPr>
                <w:i/>
                <w:sz w:val="22"/>
                <w:lang w:val="en"/>
              </w:rPr>
              <w:t>Census 2011 and SHS data</w:t>
            </w:r>
            <w:r w:rsidR="00412182" w:rsidRPr="008444D5">
              <w:rPr>
                <w:i/>
                <w:sz w:val="22"/>
                <w:lang w:val="en"/>
              </w:rPr>
              <w:t xml:space="preserve"> provide some demographic information</w:t>
            </w:r>
            <w:r w:rsidRPr="008444D5">
              <w:rPr>
                <w:i/>
                <w:sz w:val="22"/>
                <w:lang w:val="en"/>
              </w:rPr>
              <w:t>.</w:t>
            </w:r>
          </w:p>
          <w:p w:rsidR="00522380" w:rsidRPr="008444D5" w:rsidRDefault="003A79FF" w:rsidP="00C546A8">
            <w:pPr>
              <w:pStyle w:val="NoSpacing"/>
              <w:spacing w:after="120"/>
              <w:rPr>
                <w:i/>
                <w:sz w:val="22"/>
                <w:lang w:val="en"/>
              </w:rPr>
            </w:pPr>
            <w:r w:rsidRPr="008444D5">
              <w:rPr>
                <w:i/>
                <w:sz w:val="22"/>
                <w:lang w:val="en"/>
              </w:rPr>
              <w:t xml:space="preserve">Under current funding arrangements, Panels in Highland submit an annual report </w:t>
            </w:r>
            <w:r w:rsidR="00412182" w:rsidRPr="008444D5">
              <w:rPr>
                <w:i/>
                <w:sz w:val="22"/>
                <w:lang w:val="en"/>
              </w:rPr>
              <w:t xml:space="preserve">to </w:t>
            </w:r>
            <w:r w:rsidR="00412182" w:rsidRPr="008444D5">
              <w:rPr>
                <w:i/>
                <w:sz w:val="22"/>
              </w:rPr>
              <w:t>summarise</w:t>
            </w:r>
            <w:r w:rsidRPr="008444D5">
              <w:rPr>
                <w:i/>
                <w:sz w:val="22"/>
                <w:lang w:val="en"/>
              </w:rPr>
              <w:t xml:space="preserve"> </w:t>
            </w:r>
            <w:r w:rsidR="00412182" w:rsidRPr="008444D5">
              <w:rPr>
                <w:i/>
                <w:sz w:val="22"/>
                <w:lang w:val="en"/>
              </w:rPr>
              <w:t xml:space="preserve">their </w:t>
            </w:r>
            <w:r w:rsidRPr="008444D5">
              <w:rPr>
                <w:i/>
                <w:sz w:val="22"/>
                <w:lang w:val="en"/>
              </w:rPr>
              <w:t>activities</w:t>
            </w:r>
            <w:r w:rsidR="00412182" w:rsidRPr="008444D5">
              <w:rPr>
                <w:i/>
                <w:sz w:val="22"/>
                <w:lang w:val="en"/>
              </w:rPr>
              <w:t xml:space="preserve"> and also copies of their minutes – these combine to provide a fairly comprehensive overview of the impact of the Panels and the range of issues they cover. </w:t>
            </w:r>
          </w:p>
          <w:p w:rsidR="00522380" w:rsidRPr="008444D5" w:rsidRDefault="00412182" w:rsidP="00C546A8">
            <w:pPr>
              <w:pStyle w:val="NoSpacing"/>
              <w:spacing w:after="120"/>
              <w:rPr>
                <w:i/>
                <w:sz w:val="22"/>
                <w:lang w:val="en"/>
              </w:rPr>
            </w:pPr>
            <w:r w:rsidRPr="008444D5">
              <w:rPr>
                <w:i/>
                <w:sz w:val="22"/>
                <w:lang w:val="en"/>
              </w:rPr>
              <w:t>Concerns about the nature of barriers in the physical environment which disabled people in Highland face are also received through customer complaints and various Council consultations.</w:t>
            </w:r>
          </w:p>
          <w:p w:rsidR="00522380" w:rsidRPr="00C546A8" w:rsidRDefault="00522380" w:rsidP="00412182">
            <w:pPr>
              <w:pStyle w:val="NoSpacing"/>
              <w:spacing w:after="120"/>
              <w:rPr>
                <w:b/>
                <w:lang w:val="en"/>
              </w:rPr>
            </w:pPr>
          </w:p>
        </w:tc>
      </w:tr>
      <w:tr w:rsidR="00C546A8" w:rsidTr="00985CB3">
        <w:trPr>
          <w:trHeight w:val="870"/>
        </w:trPr>
        <w:tc>
          <w:tcPr>
            <w:tcW w:w="9356" w:type="dxa"/>
            <w:gridSpan w:val="2"/>
          </w:tcPr>
          <w:p w:rsidR="00C546A8" w:rsidRPr="00C546A8" w:rsidRDefault="00C546A8" w:rsidP="00C546A8">
            <w:pPr>
              <w:pStyle w:val="NoSpacing"/>
              <w:spacing w:after="120"/>
              <w:rPr>
                <w:b/>
                <w:lang w:val="en"/>
              </w:rPr>
            </w:pPr>
            <w:r w:rsidRPr="00C546A8">
              <w:rPr>
                <w:b/>
                <w:lang w:val="en"/>
              </w:rPr>
              <w:t>Impact</w:t>
            </w:r>
          </w:p>
          <w:p w:rsidR="00C546A8" w:rsidRDefault="00C546A8" w:rsidP="00C546A8">
            <w:pPr>
              <w:pStyle w:val="NoSpacing"/>
              <w:spacing w:after="120"/>
              <w:rPr>
                <w:lang w:val="en"/>
              </w:rPr>
            </w:pPr>
            <w:r>
              <w:rPr>
                <w:lang w:val="en"/>
              </w:rPr>
              <w:t xml:space="preserve">a) </w:t>
            </w:r>
            <w:r w:rsidRPr="00110F09">
              <w:rPr>
                <w:lang w:val="en"/>
              </w:rPr>
              <w:t>Describe any evidence of, or potential for, negative impact</w:t>
            </w:r>
          </w:p>
          <w:p w:rsidR="005F3E11" w:rsidRPr="008444D5" w:rsidRDefault="005F3E11" w:rsidP="005F3E11">
            <w:pPr>
              <w:rPr>
                <w:sz w:val="22"/>
              </w:rPr>
            </w:pPr>
            <w:r w:rsidRPr="008444D5">
              <w:rPr>
                <w:sz w:val="22"/>
              </w:rPr>
              <w:t xml:space="preserve">Across the groups identified below, in particular disability and age, reduction in funding, albeit small, may impact on the ability of Panels to respond to queries at local level including </w:t>
            </w:r>
            <w:proofErr w:type="gramStart"/>
            <w:r w:rsidRPr="008444D5">
              <w:rPr>
                <w:sz w:val="22"/>
              </w:rPr>
              <w:t>to comment</w:t>
            </w:r>
            <w:proofErr w:type="gramEnd"/>
            <w:r w:rsidRPr="008444D5">
              <w:rPr>
                <w:sz w:val="22"/>
              </w:rPr>
              <w:t xml:space="preserve"> on Council Planning and/or Development proposals.</w:t>
            </w:r>
            <w:r w:rsidR="008444D5" w:rsidRPr="008444D5">
              <w:rPr>
                <w:sz w:val="22"/>
              </w:rPr>
              <w:t xml:space="preserve"> Council funding supports core work of the Panels which are made up of volunteers, none of which have paid employees. Some Panels may have </w:t>
            </w:r>
            <w:proofErr w:type="gramStart"/>
            <w:r w:rsidR="008444D5" w:rsidRPr="008444D5">
              <w:rPr>
                <w:sz w:val="22"/>
              </w:rPr>
              <w:t>reduced  capacity</w:t>
            </w:r>
            <w:proofErr w:type="gramEnd"/>
            <w:r w:rsidR="008444D5" w:rsidRPr="008444D5">
              <w:rPr>
                <w:sz w:val="22"/>
              </w:rPr>
              <w:t xml:space="preserve"> to cover travel and administrative cost.</w:t>
            </w:r>
          </w:p>
          <w:p w:rsidR="005F3E11" w:rsidRPr="00110F09" w:rsidRDefault="005F3E11" w:rsidP="00C546A8">
            <w:pPr>
              <w:pStyle w:val="NoSpacing"/>
              <w:spacing w:after="120"/>
              <w:rPr>
                <w:lang w:val="en"/>
              </w:rPr>
            </w:pPr>
          </w:p>
          <w:p w:rsidR="00C546A8" w:rsidRPr="00110F09" w:rsidRDefault="00C546A8" w:rsidP="00C546A8">
            <w:pPr>
              <w:pStyle w:val="NoSpacing"/>
              <w:spacing w:after="120"/>
              <w:rPr>
                <w:lang w:val="en"/>
              </w:rPr>
            </w:pPr>
            <w:r>
              <w:rPr>
                <w:lang w:val="en"/>
              </w:rPr>
              <w:t>and/or</w:t>
            </w:r>
          </w:p>
          <w:p w:rsidR="00C546A8" w:rsidRDefault="00C546A8" w:rsidP="00C546A8">
            <w:pPr>
              <w:autoSpaceDE w:val="0"/>
              <w:autoSpaceDN w:val="0"/>
              <w:adjustRightInd w:val="0"/>
              <w:rPr>
                <w:lang w:val="en"/>
              </w:rPr>
            </w:pPr>
            <w:r>
              <w:rPr>
                <w:lang w:val="en"/>
              </w:rPr>
              <w:t xml:space="preserve">b) </w:t>
            </w:r>
            <w:r w:rsidRPr="00110F09">
              <w:rPr>
                <w:lang w:val="en"/>
              </w:rPr>
              <w:t>Does the policy contribute positively to the promotion of equality on any particular group</w:t>
            </w:r>
          </w:p>
          <w:p w:rsidR="008444D5" w:rsidRPr="008444D5" w:rsidRDefault="008444D5" w:rsidP="00C546A8">
            <w:pPr>
              <w:autoSpaceDE w:val="0"/>
              <w:autoSpaceDN w:val="0"/>
              <w:adjustRightInd w:val="0"/>
              <w:rPr>
                <w:i/>
                <w:sz w:val="22"/>
                <w:lang w:val="en"/>
              </w:rPr>
            </w:pPr>
            <w:r w:rsidRPr="008444D5">
              <w:rPr>
                <w:i/>
                <w:sz w:val="22"/>
                <w:lang w:val="en"/>
              </w:rPr>
              <w:t xml:space="preserve">Maintaining some level of discretionary </w:t>
            </w:r>
            <w:r>
              <w:rPr>
                <w:i/>
                <w:sz w:val="22"/>
                <w:lang w:val="en"/>
              </w:rPr>
              <w:t xml:space="preserve">grant </w:t>
            </w:r>
            <w:r w:rsidRPr="008444D5">
              <w:rPr>
                <w:i/>
                <w:sz w:val="22"/>
                <w:lang w:val="en"/>
              </w:rPr>
              <w:t>to all Panels</w:t>
            </w:r>
            <w:r>
              <w:rPr>
                <w:i/>
                <w:sz w:val="22"/>
                <w:lang w:val="en"/>
              </w:rPr>
              <w:t xml:space="preserve"> will help to support the work they carry out at local level.</w:t>
            </w:r>
          </w:p>
          <w:p w:rsidR="008444D5" w:rsidRDefault="008444D5" w:rsidP="00C546A8">
            <w:pPr>
              <w:autoSpaceDE w:val="0"/>
              <w:autoSpaceDN w:val="0"/>
              <w:adjustRightInd w:val="0"/>
              <w:rPr>
                <w:rFonts w:cs="Arial"/>
                <w:szCs w:val="24"/>
                <w:lang w:eastAsia="en-US"/>
              </w:rPr>
            </w:pPr>
          </w:p>
        </w:tc>
      </w:tr>
      <w:tr w:rsidR="00C546A8" w:rsidTr="00C546A8">
        <w:trPr>
          <w:trHeight w:val="870"/>
        </w:trPr>
        <w:tc>
          <w:tcPr>
            <w:tcW w:w="2836" w:type="dxa"/>
          </w:tcPr>
          <w:p w:rsidR="00C546A8" w:rsidRDefault="00C546A8" w:rsidP="00C546A8">
            <w:pPr>
              <w:autoSpaceDE w:val="0"/>
              <w:autoSpaceDN w:val="0"/>
              <w:adjustRightInd w:val="0"/>
              <w:rPr>
                <w:rFonts w:cs="Arial"/>
                <w:szCs w:val="24"/>
                <w:lang w:eastAsia="en-US"/>
              </w:rPr>
            </w:pPr>
            <w:r>
              <w:rPr>
                <w:rFonts w:cs="Arial"/>
                <w:szCs w:val="24"/>
                <w:lang w:eastAsia="en-US"/>
              </w:rPr>
              <w:t>Gender:</w:t>
            </w:r>
          </w:p>
          <w:p w:rsidR="00C546A8" w:rsidRPr="00110F09" w:rsidRDefault="00C546A8" w:rsidP="00185361">
            <w:pPr>
              <w:pStyle w:val="NoSpacing"/>
              <w:spacing w:after="120"/>
              <w:rPr>
                <w:lang w:val="en"/>
              </w:rPr>
            </w:pPr>
          </w:p>
        </w:tc>
        <w:tc>
          <w:tcPr>
            <w:tcW w:w="6520" w:type="dxa"/>
          </w:tcPr>
          <w:p w:rsidR="00412182" w:rsidRPr="008444D5" w:rsidRDefault="00412182" w:rsidP="00412182">
            <w:pPr>
              <w:pStyle w:val="Default"/>
              <w:rPr>
                <w:i/>
                <w:sz w:val="22"/>
                <w:szCs w:val="22"/>
              </w:rPr>
            </w:pPr>
            <w:r w:rsidRPr="008444D5">
              <w:rPr>
                <w:i/>
                <w:sz w:val="22"/>
                <w:szCs w:val="22"/>
              </w:rPr>
              <w:t xml:space="preserve">Improved to access to the build environment may also increase access for pregnant women and parents with pushchairs. </w:t>
            </w:r>
          </w:p>
          <w:p w:rsidR="00C546A8" w:rsidRPr="008444D5" w:rsidRDefault="00C546A8" w:rsidP="00C35A93">
            <w:pPr>
              <w:autoSpaceDE w:val="0"/>
              <w:autoSpaceDN w:val="0"/>
              <w:adjustRightInd w:val="0"/>
              <w:rPr>
                <w:rFonts w:cs="Arial"/>
                <w:i/>
                <w:sz w:val="22"/>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Age:</w:t>
            </w:r>
          </w:p>
          <w:p w:rsidR="00C546A8" w:rsidRPr="00110F09" w:rsidRDefault="00C546A8" w:rsidP="00185361">
            <w:pPr>
              <w:pStyle w:val="NoSpacing"/>
              <w:spacing w:after="120"/>
              <w:rPr>
                <w:lang w:val="en"/>
              </w:rPr>
            </w:pPr>
          </w:p>
        </w:tc>
        <w:tc>
          <w:tcPr>
            <w:tcW w:w="6520" w:type="dxa"/>
          </w:tcPr>
          <w:p w:rsidR="00412182" w:rsidRPr="008444D5" w:rsidRDefault="001243C4" w:rsidP="001243C4">
            <w:pPr>
              <w:rPr>
                <w:i/>
                <w:sz w:val="22"/>
              </w:rPr>
            </w:pPr>
            <w:r w:rsidRPr="008444D5">
              <w:rPr>
                <w:i/>
                <w:sz w:val="22"/>
              </w:rPr>
              <w:t>The likelihood of having a long-term, limiting illness increases with age, with 59% of men and 66% of women over the age of 75 having a LLTI compared to 8% of men and 7% of women under 30 (Scottish Household Survey)</w:t>
            </w:r>
            <w:r w:rsidR="00412182" w:rsidRPr="008444D5">
              <w:rPr>
                <w:i/>
                <w:sz w:val="22"/>
              </w:rPr>
              <w:t xml:space="preserve">. </w:t>
            </w:r>
          </w:p>
          <w:p w:rsidR="001243C4" w:rsidRPr="008444D5" w:rsidRDefault="00412182" w:rsidP="001243C4">
            <w:pPr>
              <w:rPr>
                <w:i/>
                <w:sz w:val="22"/>
              </w:rPr>
            </w:pPr>
            <w:r w:rsidRPr="008444D5">
              <w:rPr>
                <w:i/>
                <w:sz w:val="22"/>
              </w:rPr>
              <w:t xml:space="preserve">This is likely to be result in older people facing reduced mobility, sensory impairments </w:t>
            </w:r>
            <w:proofErr w:type="spellStart"/>
            <w:r w:rsidRPr="008444D5">
              <w:rPr>
                <w:i/>
                <w:sz w:val="22"/>
              </w:rPr>
              <w:t>etc</w:t>
            </w:r>
            <w:proofErr w:type="spellEnd"/>
            <w:r w:rsidR="001243C4" w:rsidRPr="008444D5">
              <w:rPr>
                <w:i/>
                <w:sz w:val="22"/>
              </w:rPr>
              <w:t xml:space="preserve"> </w:t>
            </w:r>
          </w:p>
          <w:p w:rsidR="00C546A8" w:rsidRPr="008444D5" w:rsidRDefault="00C546A8" w:rsidP="005F3E11">
            <w:pPr>
              <w:rPr>
                <w:rFonts w:cs="Arial"/>
                <w:i/>
                <w:sz w:val="22"/>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Disability:</w:t>
            </w:r>
          </w:p>
          <w:p w:rsidR="00C546A8" w:rsidRPr="00110F09" w:rsidRDefault="00C546A8" w:rsidP="00185361">
            <w:pPr>
              <w:pStyle w:val="NoSpacing"/>
              <w:spacing w:after="120"/>
              <w:rPr>
                <w:lang w:val="en"/>
              </w:rPr>
            </w:pPr>
          </w:p>
        </w:tc>
        <w:tc>
          <w:tcPr>
            <w:tcW w:w="6520" w:type="dxa"/>
          </w:tcPr>
          <w:p w:rsidR="001243C4" w:rsidRPr="008444D5" w:rsidRDefault="001243C4" w:rsidP="001243C4">
            <w:pPr>
              <w:rPr>
                <w:i/>
                <w:sz w:val="22"/>
              </w:rPr>
            </w:pPr>
            <w:r w:rsidRPr="008444D5">
              <w:rPr>
                <w:i/>
                <w:sz w:val="22"/>
              </w:rPr>
              <w:t xml:space="preserve">According to the Census Scotland 2011, 19% of people in Highland have a limiting long-term illness (LLTI), health problem or disability compared to 20% in Scotland. </w:t>
            </w:r>
            <w:r w:rsidRPr="008444D5">
              <w:rPr>
                <w:rFonts w:cs="Arial"/>
                <w:i/>
                <w:sz w:val="22"/>
              </w:rPr>
              <w:t>Of these</w:t>
            </w:r>
            <w:proofErr w:type="gramStart"/>
            <w:r w:rsidRPr="008444D5">
              <w:rPr>
                <w:rFonts w:cs="Arial"/>
                <w:i/>
                <w:sz w:val="22"/>
              </w:rPr>
              <w:t>,10</w:t>
            </w:r>
            <w:proofErr w:type="gramEnd"/>
            <w:r w:rsidRPr="008444D5">
              <w:rPr>
                <w:rFonts w:cs="Arial"/>
                <w:i/>
                <w:sz w:val="22"/>
              </w:rPr>
              <w:t>% of the Highland population has a long-term health problem or disability that limits their day-to-day activities a little, and 8% are limited a lot.</w:t>
            </w:r>
          </w:p>
          <w:p w:rsidR="001243C4" w:rsidRPr="008444D5" w:rsidRDefault="001243C4" w:rsidP="001243C4">
            <w:pPr>
              <w:rPr>
                <w:i/>
                <w:sz w:val="22"/>
              </w:rPr>
            </w:pPr>
          </w:p>
          <w:p w:rsidR="001243C4" w:rsidRPr="008444D5" w:rsidRDefault="001243C4" w:rsidP="001243C4">
            <w:pPr>
              <w:rPr>
                <w:i/>
                <w:sz w:val="22"/>
              </w:rPr>
            </w:pPr>
            <w:r w:rsidRPr="008444D5">
              <w:rPr>
                <w:i/>
                <w:sz w:val="22"/>
              </w:rPr>
              <w:lastRenderedPageBreak/>
              <w:t xml:space="preserve">Rates of LLTI vary across Highland, from11.8% of the population in the Inverness South Ward to 23.1% in the East Sutherland and </w:t>
            </w:r>
            <w:proofErr w:type="spellStart"/>
            <w:r w:rsidRPr="008444D5">
              <w:rPr>
                <w:i/>
                <w:sz w:val="22"/>
              </w:rPr>
              <w:t>Edderton</w:t>
            </w:r>
            <w:proofErr w:type="spellEnd"/>
            <w:r w:rsidRPr="008444D5">
              <w:rPr>
                <w:i/>
                <w:sz w:val="22"/>
              </w:rPr>
              <w:t xml:space="preserve"> Ward. </w:t>
            </w:r>
          </w:p>
          <w:p w:rsidR="00C546A8" w:rsidRPr="008444D5" w:rsidRDefault="00C546A8" w:rsidP="00C35A93">
            <w:pPr>
              <w:autoSpaceDE w:val="0"/>
              <w:autoSpaceDN w:val="0"/>
              <w:adjustRightInd w:val="0"/>
              <w:rPr>
                <w:rFonts w:cs="Arial"/>
                <w:i/>
                <w:sz w:val="22"/>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lastRenderedPageBreak/>
              <w:t>Religion or belief:</w:t>
            </w:r>
          </w:p>
          <w:p w:rsidR="00C546A8" w:rsidRPr="00110F09" w:rsidRDefault="00C546A8" w:rsidP="00185361">
            <w:pPr>
              <w:pStyle w:val="NoSpacing"/>
              <w:spacing w:after="120"/>
              <w:rPr>
                <w:lang w:val="en"/>
              </w:rPr>
            </w:pPr>
          </w:p>
        </w:tc>
        <w:tc>
          <w:tcPr>
            <w:tcW w:w="6520" w:type="dxa"/>
          </w:tcPr>
          <w:p w:rsidR="00C546A8" w:rsidRPr="008444D5" w:rsidRDefault="00C546A8" w:rsidP="00C35A93">
            <w:pPr>
              <w:autoSpaceDE w:val="0"/>
              <w:autoSpaceDN w:val="0"/>
              <w:adjustRightInd w:val="0"/>
              <w:rPr>
                <w:rFonts w:cs="Arial"/>
                <w:i/>
                <w:sz w:val="22"/>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Race:</w:t>
            </w:r>
          </w:p>
          <w:p w:rsidR="00C546A8" w:rsidRPr="00110F09" w:rsidRDefault="00C546A8" w:rsidP="00185361">
            <w:pPr>
              <w:pStyle w:val="NoSpacing"/>
              <w:spacing w:after="120"/>
              <w:rPr>
                <w:lang w:val="en"/>
              </w:rPr>
            </w:pPr>
          </w:p>
        </w:tc>
        <w:tc>
          <w:tcPr>
            <w:tcW w:w="6520" w:type="dxa"/>
          </w:tcPr>
          <w:p w:rsidR="00C546A8" w:rsidRPr="008444D5" w:rsidRDefault="00C546A8" w:rsidP="00C35A93">
            <w:pPr>
              <w:autoSpaceDE w:val="0"/>
              <w:autoSpaceDN w:val="0"/>
              <w:adjustRightInd w:val="0"/>
              <w:rPr>
                <w:rFonts w:cs="Arial"/>
                <w:i/>
                <w:sz w:val="22"/>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Sexual Orientation:</w:t>
            </w:r>
          </w:p>
          <w:p w:rsidR="00C546A8" w:rsidRDefault="00C546A8" w:rsidP="00C546A8">
            <w:pPr>
              <w:rPr>
                <w:rFonts w:cs="Arial"/>
                <w:sz w:val="23"/>
                <w:szCs w:val="23"/>
              </w:rPr>
            </w:pPr>
          </w:p>
        </w:tc>
        <w:tc>
          <w:tcPr>
            <w:tcW w:w="6520" w:type="dxa"/>
          </w:tcPr>
          <w:p w:rsidR="00C546A8" w:rsidRPr="008444D5" w:rsidRDefault="00C546A8" w:rsidP="00C35A93">
            <w:pPr>
              <w:autoSpaceDE w:val="0"/>
              <w:autoSpaceDN w:val="0"/>
              <w:adjustRightInd w:val="0"/>
              <w:rPr>
                <w:rFonts w:cs="Arial"/>
                <w:i/>
                <w:sz w:val="22"/>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Gender reassignment:</w:t>
            </w:r>
          </w:p>
          <w:p w:rsidR="00C546A8" w:rsidRDefault="00C546A8" w:rsidP="00C546A8">
            <w:pPr>
              <w:rPr>
                <w:rFonts w:cs="Arial"/>
                <w:sz w:val="23"/>
                <w:szCs w:val="23"/>
              </w:rPr>
            </w:pPr>
          </w:p>
        </w:tc>
        <w:tc>
          <w:tcPr>
            <w:tcW w:w="6520" w:type="dxa"/>
          </w:tcPr>
          <w:p w:rsidR="00C546A8" w:rsidRPr="008444D5" w:rsidRDefault="00C546A8" w:rsidP="00C35A93">
            <w:pPr>
              <w:autoSpaceDE w:val="0"/>
              <w:autoSpaceDN w:val="0"/>
              <w:adjustRightInd w:val="0"/>
              <w:rPr>
                <w:rFonts w:cs="Arial"/>
                <w:i/>
                <w:sz w:val="22"/>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Pregnancy/maternity:</w:t>
            </w:r>
          </w:p>
          <w:p w:rsidR="00C546A8" w:rsidRDefault="00C546A8" w:rsidP="00C546A8">
            <w:pPr>
              <w:rPr>
                <w:rFonts w:cs="Arial"/>
                <w:sz w:val="23"/>
                <w:szCs w:val="23"/>
              </w:rPr>
            </w:pPr>
          </w:p>
        </w:tc>
        <w:tc>
          <w:tcPr>
            <w:tcW w:w="6520" w:type="dxa"/>
          </w:tcPr>
          <w:p w:rsidR="00412182" w:rsidRPr="008444D5" w:rsidRDefault="00412182" w:rsidP="00412182">
            <w:pPr>
              <w:pStyle w:val="Default"/>
              <w:rPr>
                <w:i/>
                <w:sz w:val="22"/>
                <w:szCs w:val="22"/>
              </w:rPr>
            </w:pPr>
            <w:r w:rsidRPr="008444D5">
              <w:rPr>
                <w:i/>
                <w:sz w:val="22"/>
                <w:szCs w:val="22"/>
              </w:rPr>
              <w:t xml:space="preserve">Improved to access to the build environment may also increase access for pregnant women and parents with pushchairs. </w:t>
            </w:r>
          </w:p>
          <w:p w:rsidR="00C546A8" w:rsidRPr="008444D5" w:rsidRDefault="00C546A8" w:rsidP="00C35A93">
            <w:pPr>
              <w:autoSpaceDE w:val="0"/>
              <w:autoSpaceDN w:val="0"/>
              <w:adjustRightInd w:val="0"/>
              <w:rPr>
                <w:rFonts w:cs="Arial"/>
                <w:i/>
                <w:sz w:val="22"/>
                <w:lang w:eastAsia="en-US"/>
              </w:rPr>
            </w:pPr>
          </w:p>
        </w:tc>
      </w:tr>
      <w:tr w:rsidR="00C546A8" w:rsidTr="00C546A8">
        <w:trPr>
          <w:trHeight w:val="870"/>
        </w:trPr>
        <w:tc>
          <w:tcPr>
            <w:tcW w:w="2836" w:type="dxa"/>
          </w:tcPr>
          <w:p w:rsidR="00C546A8" w:rsidRDefault="00C546A8" w:rsidP="00C546A8">
            <w:pPr>
              <w:rPr>
                <w:rFonts w:cs="Arial"/>
                <w:sz w:val="23"/>
                <w:szCs w:val="23"/>
              </w:rPr>
            </w:pPr>
            <w:r>
              <w:rPr>
                <w:rFonts w:cs="Arial"/>
                <w:sz w:val="23"/>
                <w:szCs w:val="23"/>
              </w:rPr>
              <w:t>Marriage and civil partnership:</w:t>
            </w:r>
          </w:p>
          <w:p w:rsidR="00C546A8" w:rsidRDefault="00C546A8" w:rsidP="00C546A8">
            <w:pPr>
              <w:rPr>
                <w:rFonts w:cs="Arial"/>
                <w:sz w:val="23"/>
                <w:szCs w:val="23"/>
              </w:rPr>
            </w:pPr>
          </w:p>
        </w:tc>
        <w:tc>
          <w:tcPr>
            <w:tcW w:w="6520" w:type="dxa"/>
          </w:tcPr>
          <w:p w:rsidR="00C546A8" w:rsidRDefault="00C546A8" w:rsidP="00C35A93">
            <w:pPr>
              <w:autoSpaceDE w:val="0"/>
              <w:autoSpaceDN w:val="0"/>
              <w:adjustRightInd w:val="0"/>
              <w:rPr>
                <w:rFonts w:cs="Arial"/>
                <w:szCs w:val="24"/>
                <w:lang w:eastAsia="en-US"/>
              </w:rPr>
            </w:pPr>
          </w:p>
        </w:tc>
      </w:tr>
      <w:tr w:rsidR="00C546A8" w:rsidTr="00E35C4B">
        <w:tc>
          <w:tcPr>
            <w:tcW w:w="9356" w:type="dxa"/>
            <w:gridSpan w:val="2"/>
            <w:shd w:val="clear" w:color="auto" w:fill="FFFFFF" w:themeFill="background1"/>
          </w:tcPr>
          <w:p w:rsidR="00C546A8" w:rsidRPr="00C546A8" w:rsidRDefault="00C546A8" w:rsidP="003F07DA">
            <w:pPr>
              <w:rPr>
                <w:rFonts w:cs="Arial"/>
                <w:b/>
                <w:sz w:val="23"/>
                <w:szCs w:val="23"/>
              </w:rPr>
            </w:pPr>
            <w:r w:rsidRPr="00C546A8">
              <w:rPr>
                <w:b/>
                <w:lang w:val="en"/>
              </w:rPr>
              <w:t>Justification</w:t>
            </w:r>
          </w:p>
        </w:tc>
      </w:tr>
      <w:tr w:rsidR="003F07DA" w:rsidTr="00C546A8">
        <w:tc>
          <w:tcPr>
            <w:tcW w:w="2836" w:type="dxa"/>
            <w:shd w:val="clear" w:color="auto" w:fill="FFFFFF" w:themeFill="background1"/>
          </w:tcPr>
          <w:p w:rsidR="003F07DA" w:rsidRPr="00110F09" w:rsidRDefault="00C546A8" w:rsidP="00185361">
            <w:pPr>
              <w:pStyle w:val="NoSpacing"/>
              <w:spacing w:after="120"/>
              <w:rPr>
                <w:lang w:val="en"/>
              </w:rPr>
            </w:pPr>
            <w:r>
              <w:rPr>
                <w:lang w:val="en"/>
              </w:rPr>
              <w:t>I</w:t>
            </w:r>
            <w:r w:rsidR="003F07DA" w:rsidRPr="00110F09">
              <w:rPr>
                <w:lang w:val="en"/>
              </w:rPr>
              <w:t>f negative impact is identified, can this be justified?</w:t>
            </w:r>
          </w:p>
          <w:p w:rsidR="003F07DA" w:rsidRPr="00110F09" w:rsidRDefault="003F07DA" w:rsidP="00185361">
            <w:pPr>
              <w:pStyle w:val="NoSpacing"/>
              <w:spacing w:after="120"/>
              <w:rPr>
                <w:lang w:val="en"/>
              </w:rPr>
            </w:pPr>
          </w:p>
        </w:tc>
        <w:tc>
          <w:tcPr>
            <w:tcW w:w="6520" w:type="dxa"/>
          </w:tcPr>
          <w:p w:rsidR="005F3E11" w:rsidRPr="008444D5" w:rsidRDefault="006013D7" w:rsidP="003F07DA">
            <w:pPr>
              <w:rPr>
                <w:rFonts w:cs="Arial"/>
                <w:i/>
                <w:sz w:val="22"/>
              </w:rPr>
            </w:pPr>
            <w:r w:rsidRPr="008444D5">
              <w:rPr>
                <w:rFonts w:cs="Arial"/>
                <w:i/>
                <w:sz w:val="22"/>
              </w:rPr>
              <w:t>This is a discretionary grant from the Council</w:t>
            </w:r>
            <w:r w:rsidR="005F3E11" w:rsidRPr="008444D5">
              <w:rPr>
                <w:rFonts w:cs="Arial"/>
                <w:i/>
                <w:sz w:val="22"/>
              </w:rPr>
              <w:t xml:space="preserve">’s Policy Team (Equal Opportunities) and </w:t>
            </w:r>
            <w:r w:rsidRPr="008444D5">
              <w:rPr>
                <w:rFonts w:cs="Arial"/>
                <w:i/>
                <w:sz w:val="22"/>
              </w:rPr>
              <w:t xml:space="preserve">which supports the core work of the Panels. </w:t>
            </w:r>
            <w:r w:rsidR="005F3E11" w:rsidRPr="008444D5">
              <w:rPr>
                <w:rFonts w:cs="Arial"/>
                <w:i/>
                <w:sz w:val="22"/>
              </w:rPr>
              <w:t>All other equal opportunities discretionary grants which support third sector groups have been previously removed</w:t>
            </w:r>
            <w:proofErr w:type="gramStart"/>
            <w:r w:rsidR="005F3E11" w:rsidRPr="008444D5">
              <w:rPr>
                <w:rFonts w:cs="Arial"/>
                <w:i/>
                <w:sz w:val="22"/>
              </w:rPr>
              <w:t>..</w:t>
            </w:r>
            <w:proofErr w:type="gramEnd"/>
          </w:p>
          <w:p w:rsidR="005F3E11" w:rsidRPr="008444D5" w:rsidRDefault="005F3E11" w:rsidP="003F07DA">
            <w:pPr>
              <w:rPr>
                <w:rFonts w:cs="Arial"/>
                <w:i/>
                <w:sz w:val="22"/>
              </w:rPr>
            </w:pPr>
          </w:p>
          <w:p w:rsidR="003F07DA" w:rsidRPr="008444D5" w:rsidRDefault="006013D7" w:rsidP="003F07DA">
            <w:pPr>
              <w:rPr>
                <w:rFonts w:cs="Arial"/>
                <w:i/>
                <w:sz w:val="22"/>
              </w:rPr>
            </w:pPr>
            <w:r w:rsidRPr="008444D5">
              <w:rPr>
                <w:rFonts w:cs="Arial"/>
                <w:i/>
                <w:sz w:val="22"/>
              </w:rPr>
              <w:t>The reduction in funding of 10% is in line with reductions to other 3</w:t>
            </w:r>
            <w:r w:rsidRPr="008444D5">
              <w:rPr>
                <w:rFonts w:cs="Arial"/>
                <w:i/>
                <w:sz w:val="22"/>
                <w:vertAlign w:val="superscript"/>
              </w:rPr>
              <w:t>rd</w:t>
            </w:r>
            <w:r w:rsidRPr="008444D5">
              <w:rPr>
                <w:rFonts w:cs="Arial"/>
                <w:i/>
                <w:sz w:val="22"/>
              </w:rPr>
              <w:t xml:space="preserve"> sector organisations in previous years by other service.</w:t>
            </w:r>
          </w:p>
          <w:p w:rsidR="00110F09" w:rsidRPr="008444D5" w:rsidRDefault="006013D7" w:rsidP="003F07DA">
            <w:pPr>
              <w:rPr>
                <w:rFonts w:cs="Arial"/>
                <w:i/>
                <w:sz w:val="22"/>
              </w:rPr>
            </w:pPr>
            <w:r w:rsidRPr="008444D5">
              <w:rPr>
                <w:rFonts w:cs="Arial"/>
                <w:i/>
                <w:sz w:val="22"/>
              </w:rPr>
              <w:t>The reduction is a relatively small amount of £125 per Panel.</w:t>
            </w:r>
          </w:p>
          <w:p w:rsidR="00110F09" w:rsidRDefault="00110F09" w:rsidP="003F07DA">
            <w:pPr>
              <w:rPr>
                <w:rFonts w:cs="Arial"/>
                <w:sz w:val="23"/>
                <w:szCs w:val="23"/>
              </w:rPr>
            </w:pPr>
          </w:p>
        </w:tc>
      </w:tr>
      <w:tr w:rsidR="00C546A8" w:rsidTr="0006098E">
        <w:tc>
          <w:tcPr>
            <w:tcW w:w="9356" w:type="dxa"/>
            <w:gridSpan w:val="2"/>
            <w:shd w:val="clear" w:color="auto" w:fill="FFFFFF" w:themeFill="background1"/>
          </w:tcPr>
          <w:p w:rsidR="00C546A8" w:rsidRDefault="00C546A8"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r w:rsidRPr="00C546A8">
              <w:rPr>
                <w:b/>
                <w:lang w:val="en"/>
              </w:rPr>
              <w:t>Mitigation</w:t>
            </w:r>
          </w:p>
        </w:tc>
      </w:tr>
      <w:tr w:rsidR="00C81D44" w:rsidTr="00C546A8">
        <w:tc>
          <w:tcPr>
            <w:tcW w:w="2836" w:type="dxa"/>
            <w:shd w:val="clear" w:color="auto" w:fill="FFFFFF" w:themeFill="background1"/>
          </w:tcPr>
          <w:p w:rsidR="00C81D44" w:rsidRPr="00110F09" w:rsidRDefault="00C546A8" w:rsidP="00185361">
            <w:pPr>
              <w:pStyle w:val="NoSpacing"/>
              <w:spacing w:after="120"/>
              <w:rPr>
                <w:lang w:val="en"/>
              </w:rPr>
            </w:pPr>
            <w:r>
              <w:rPr>
                <w:lang w:val="en"/>
              </w:rPr>
              <w:t>Can</w:t>
            </w:r>
            <w:r w:rsidR="00C81D44" w:rsidRPr="00110F09">
              <w:rPr>
                <w:lang w:val="en"/>
              </w:rPr>
              <w:t xml:space="preserve"> the potential for negative impact </w:t>
            </w:r>
            <w:r w:rsidR="00216E63" w:rsidRPr="00110F09">
              <w:rPr>
                <w:lang w:val="en"/>
              </w:rPr>
              <w:t xml:space="preserve">on particular groups </w:t>
            </w:r>
            <w:r w:rsidR="00C81D44" w:rsidRPr="00110F09">
              <w:rPr>
                <w:lang w:val="en"/>
              </w:rPr>
              <w:t xml:space="preserve">be removed or </w:t>
            </w:r>
            <w:proofErr w:type="spellStart"/>
            <w:r w:rsidR="00C81D44" w:rsidRPr="00110F09">
              <w:rPr>
                <w:lang w:val="en"/>
              </w:rPr>
              <w:t>minimised</w:t>
            </w:r>
            <w:proofErr w:type="spellEnd"/>
            <w:r w:rsidR="00C81D44" w:rsidRPr="00110F09">
              <w:rPr>
                <w:lang w:val="en"/>
              </w:rPr>
              <w:t>?</w:t>
            </w:r>
          </w:p>
          <w:p w:rsidR="00110F09" w:rsidRPr="00110F09" w:rsidRDefault="00110F09" w:rsidP="00185361">
            <w:pPr>
              <w:pStyle w:val="NoSpacing"/>
              <w:spacing w:after="120"/>
              <w:rPr>
                <w:lang w:val="en"/>
              </w:rPr>
            </w:pPr>
          </w:p>
          <w:p w:rsidR="00110F09" w:rsidRPr="00110F09" w:rsidRDefault="00110F09" w:rsidP="00185361">
            <w:pPr>
              <w:pStyle w:val="NoSpacing"/>
              <w:spacing w:after="120"/>
              <w:rPr>
                <w:highlight w:val="yellow"/>
                <w:lang w:val="en"/>
              </w:rPr>
            </w:pPr>
          </w:p>
        </w:tc>
        <w:tc>
          <w:tcPr>
            <w:tcW w:w="6520" w:type="dxa"/>
          </w:tcPr>
          <w:p w:rsidR="0073600E" w:rsidRPr="008444D5" w:rsidRDefault="0073600E" w:rsidP="0073600E">
            <w:pPr>
              <w:pStyle w:val="NormalWeb"/>
              <w:shd w:val="clear" w:color="auto" w:fill="FFFFFF"/>
              <w:rPr>
                <w:rFonts w:ascii="Arial" w:hAnsi="Arial" w:cs="Arial"/>
                <w:i/>
                <w:sz w:val="22"/>
                <w:szCs w:val="22"/>
                <w:lang w:val="en-US"/>
              </w:rPr>
            </w:pPr>
            <w:r w:rsidRPr="008444D5">
              <w:rPr>
                <w:rFonts w:ascii="Arial" w:hAnsi="Arial" w:cs="Arial"/>
                <w:i/>
                <w:sz w:val="22"/>
                <w:szCs w:val="22"/>
                <w:lang w:val="en-US"/>
              </w:rPr>
              <w:t>The umbrella body for Access Panels across Scotland,</w:t>
            </w:r>
            <w:hyperlink r:id="rId8" w:history="1">
              <w:r w:rsidRPr="008444D5">
                <w:rPr>
                  <w:rStyle w:val="Hyperlink"/>
                  <w:rFonts w:ascii="Arial" w:eastAsiaTheme="majorEastAsia" w:hAnsi="Arial" w:cs="Arial"/>
                  <w:i/>
                  <w:color w:val="auto"/>
                  <w:sz w:val="22"/>
                  <w:szCs w:val="22"/>
                  <w:lang w:val="en-US"/>
                </w:rPr>
                <w:t xml:space="preserve"> Disability Equality Scotland</w:t>
              </w:r>
            </w:hyperlink>
            <w:r w:rsidRPr="008444D5">
              <w:rPr>
                <w:rFonts w:ascii="Arial" w:hAnsi="Arial" w:cs="Arial"/>
                <w:i/>
                <w:sz w:val="22"/>
                <w:szCs w:val="22"/>
                <w:lang w:val="en-US"/>
              </w:rPr>
              <w:t xml:space="preserve"> </w:t>
            </w:r>
            <w:r w:rsidR="006013D7" w:rsidRPr="008444D5">
              <w:rPr>
                <w:rFonts w:ascii="Arial" w:hAnsi="Arial" w:cs="Arial"/>
                <w:i/>
                <w:sz w:val="22"/>
                <w:szCs w:val="22"/>
                <w:lang w:val="en-US"/>
              </w:rPr>
              <w:t xml:space="preserve">is funded by the Scottish Government and </w:t>
            </w:r>
            <w:r w:rsidRPr="008444D5">
              <w:rPr>
                <w:rFonts w:ascii="Arial" w:hAnsi="Arial" w:cs="Arial"/>
                <w:i/>
                <w:sz w:val="22"/>
                <w:szCs w:val="22"/>
                <w:lang w:val="en-US"/>
              </w:rPr>
              <w:t xml:space="preserve">administers an Access Panel Grant on a yearly basis to all Access Panels (£1000 for each Panel in 17/18). This money is intended to secure the long term sustainability of the Panel network. </w:t>
            </w:r>
          </w:p>
          <w:p w:rsidR="00110F09" w:rsidRPr="007851B3" w:rsidRDefault="006013D7"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i/>
                <w:sz w:val="22"/>
                <w:szCs w:val="22"/>
                <w:highlight w:val="yellow"/>
              </w:rPr>
            </w:pPr>
            <w:r w:rsidRPr="007851B3">
              <w:rPr>
                <w:rFonts w:cs="Arial"/>
                <w:i/>
                <w:sz w:val="22"/>
                <w:szCs w:val="22"/>
              </w:rPr>
              <w:t>A</w:t>
            </w:r>
            <w:r w:rsidR="005F3E11" w:rsidRPr="007851B3">
              <w:rPr>
                <w:rFonts w:cs="Arial"/>
                <w:i/>
                <w:sz w:val="22"/>
                <w:szCs w:val="22"/>
              </w:rPr>
              <w:t>ccess Panel payments are paid in arrears towards the end of the financial year. This should allow Panels</w:t>
            </w:r>
            <w:r w:rsidR="00071E81" w:rsidRPr="007851B3">
              <w:rPr>
                <w:rFonts w:cs="Arial"/>
                <w:i/>
                <w:sz w:val="22"/>
                <w:szCs w:val="22"/>
              </w:rPr>
              <w:t xml:space="preserve"> time</w:t>
            </w:r>
            <w:r w:rsidR="005F3E11" w:rsidRPr="007851B3">
              <w:rPr>
                <w:rFonts w:cs="Arial"/>
                <w:i/>
                <w:sz w:val="22"/>
                <w:szCs w:val="22"/>
              </w:rPr>
              <w:t xml:space="preserve"> to consider other sources of funding</w:t>
            </w:r>
            <w:r w:rsidR="00071E81" w:rsidRPr="007851B3">
              <w:rPr>
                <w:rFonts w:cs="Arial"/>
                <w:i/>
                <w:sz w:val="22"/>
                <w:szCs w:val="22"/>
              </w:rPr>
              <w:t>.</w:t>
            </w:r>
            <w:r w:rsidR="005F3E11" w:rsidRPr="007851B3">
              <w:rPr>
                <w:rFonts w:cs="Arial"/>
                <w:i/>
                <w:sz w:val="22"/>
                <w:szCs w:val="22"/>
              </w:rPr>
              <w:t xml:space="preserve"> Panels are already reminded that they can apply for sources of funds and this advice will continue.</w:t>
            </w:r>
          </w:p>
          <w:p w:rsidR="00110F09" w:rsidRPr="00360D10" w:rsidRDefault="00110F09"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tc>
      </w:tr>
      <w:tr w:rsidR="00C546A8" w:rsidTr="001134D5">
        <w:tc>
          <w:tcPr>
            <w:tcW w:w="9356" w:type="dxa"/>
            <w:gridSpan w:val="2"/>
            <w:shd w:val="clear" w:color="auto" w:fill="FFFFFF" w:themeFill="background1"/>
          </w:tcPr>
          <w:p w:rsidR="00C546A8" w:rsidRPr="00C546A8" w:rsidRDefault="00C546A8"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b/>
                <w:highlight w:val="yellow"/>
              </w:rPr>
            </w:pPr>
            <w:r w:rsidRPr="00C546A8">
              <w:rPr>
                <w:rFonts w:cs="Arial"/>
                <w:b/>
              </w:rPr>
              <w:t>Actions</w:t>
            </w:r>
          </w:p>
        </w:tc>
      </w:tr>
      <w:tr w:rsidR="00522380" w:rsidTr="005F3E11">
        <w:trPr>
          <w:trHeight w:val="764"/>
        </w:trPr>
        <w:tc>
          <w:tcPr>
            <w:tcW w:w="9356" w:type="dxa"/>
            <w:gridSpan w:val="2"/>
            <w:shd w:val="clear" w:color="auto" w:fill="FFFFFF" w:themeFill="background1"/>
          </w:tcPr>
          <w:p w:rsidR="00522380" w:rsidRPr="00360D10" w:rsidRDefault="00522380" w:rsidP="004641EE">
            <w:pPr>
              <w:pStyle w:val="NoSpacing"/>
              <w:spacing w:after="120"/>
              <w:rPr>
                <w:rFonts w:cs="Arial"/>
                <w:highlight w:val="yellow"/>
              </w:rPr>
            </w:pPr>
            <w:r w:rsidRPr="00110F09">
              <w:rPr>
                <w:lang w:val="en"/>
              </w:rPr>
              <w:t>Are there actions identified to advance or promote equality</w:t>
            </w:r>
            <w:r w:rsidR="004641EE">
              <w:rPr>
                <w:lang w:val="en"/>
              </w:rPr>
              <w:t>, or to mitigate potentially negative impact</w:t>
            </w:r>
            <w:r w:rsidRPr="00110F09">
              <w:rPr>
                <w:lang w:val="en"/>
              </w:rPr>
              <w:t>? Please detail or attach an action plan.</w:t>
            </w:r>
          </w:p>
        </w:tc>
      </w:tr>
      <w:tr w:rsidR="00522380" w:rsidTr="00A87AF8">
        <w:tc>
          <w:tcPr>
            <w:tcW w:w="9356" w:type="dxa"/>
            <w:gridSpan w:val="2"/>
            <w:shd w:val="clear" w:color="auto" w:fill="FFFFFF" w:themeFill="background1"/>
          </w:tcPr>
          <w:p w:rsidR="00522380" w:rsidRPr="008444D5" w:rsidRDefault="005F3E11"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i/>
                <w:sz w:val="22"/>
                <w:szCs w:val="22"/>
              </w:rPr>
            </w:pPr>
            <w:r w:rsidRPr="008444D5">
              <w:rPr>
                <w:rFonts w:cs="Arial"/>
                <w:i/>
                <w:sz w:val="22"/>
                <w:szCs w:val="22"/>
              </w:rPr>
              <w:t>None additional to the above</w:t>
            </w:r>
          </w:p>
          <w:p w:rsidR="00522380" w:rsidRDefault="00522380"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522380" w:rsidRDefault="00522380"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p w:rsidR="00522380" w:rsidRDefault="00522380" w:rsidP="00C81D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rPr>
                <w:rFonts w:cs="Arial"/>
                <w:highlight w:val="yellow"/>
              </w:rPr>
            </w:pPr>
          </w:p>
        </w:tc>
      </w:tr>
    </w:tbl>
    <w:p w:rsidR="00185361" w:rsidRDefault="00185361" w:rsidP="00185361">
      <w:pPr>
        <w:pStyle w:val="NoSpacing"/>
        <w:spacing w:after="120"/>
        <w:ind w:left="714"/>
        <w:rPr>
          <w:i/>
          <w:lang w:val="en"/>
        </w:rPr>
      </w:pPr>
    </w:p>
    <w:p w:rsidR="00752E09" w:rsidRDefault="00752E09" w:rsidP="00216E63">
      <w:pPr>
        <w:pStyle w:val="NoSpacing"/>
        <w:spacing w:after="120"/>
        <w:rPr>
          <w:lang w:val="en"/>
        </w:rPr>
      </w:pPr>
    </w:p>
    <w:p w:rsidR="00752E09" w:rsidRDefault="00752E09" w:rsidP="00216E63">
      <w:pPr>
        <w:pStyle w:val="NoSpacing"/>
        <w:spacing w:after="120"/>
        <w:rPr>
          <w:lang w:val="en"/>
        </w:rPr>
      </w:pPr>
    </w:p>
    <w:p w:rsidR="00AB3C6B" w:rsidRDefault="00AB3C6B" w:rsidP="00216E63">
      <w:pPr>
        <w:pStyle w:val="NoSpacing"/>
        <w:spacing w:after="120"/>
        <w:rPr>
          <w:lang w:val="en"/>
        </w:rPr>
      </w:pPr>
      <w:r w:rsidRPr="004F5041">
        <w:rPr>
          <w:lang w:val="en"/>
        </w:rPr>
        <w:t xml:space="preserve">Please provide details of arrangements to monitor and review the policy and any mitigating actions </w:t>
      </w:r>
      <w:r w:rsidR="00622D08">
        <w:rPr>
          <w:lang w:val="en"/>
        </w:rPr>
        <w:t>or actions to promote equality.</w:t>
      </w:r>
    </w:p>
    <w:p w:rsidR="007D2BD0" w:rsidRPr="007D2BD0" w:rsidRDefault="007D2BD0" w:rsidP="00216E63">
      <w:pPr>
        <w:pStyle w:val="NoSpacing"/>
        <w:spacing w:after="120"/>
        <w:rPr>
          <w:i/>
          <w:sz w:val="22"/>
          <w:lang w:val="en"/>
        </w:rPr>
      </w:pPr>
      <w:r w:rsidRPr="007D2BD0">
        <w:rPr>
          <w:i/>
          <w:sz w:val="22"/>
          <w:lang w:val="en"/>
        </w:rPr>
        <w:t>The impact on Panels will be monitored and reviewed through the submission of minutes from each Panel and annual report of activities.</w:t>
      </w:r>
    </w:p>
    <w:p w:rsidR="00C546A8" w:rsidRDefault="00C546A8" w:rsidP="00216E63">
      <w:pPr>
        <w:pStyle w:val="NoSpacing"/>
        <w:spacing w:after="120"/>
        <w:rPr>
          <w:lang w:val="en"/>
        </w:rPr>
      </w:pPr>
    </w:p>
    <w:p w:rsidR="007D2BD0" w:rsidRDefault="00AB3C6B" w:rsidP="00216E63">
      <w:pPr>
        <w:pStyle w:val="NoSpacing"/>
        <w:spacing w:after="120"/>
        <w:rPr>
          <w:lang w:val="en"/>
        </w:rPr>
      </w:pPr>
      <w:r w:rsidRPr="004F5041">
        <w:rPr>
          <w:lang w:val="en"/>
        </w:rPr>
        <w:t>Please state w</w:t>
      </w:r>
      <w:r w:rsidR="003F07DA">
        <w:rPr>
          <w:lang w:val="en"/>
        </w:rPr>
        <w:t xml:space="preserve">here the EQIA will be published: </w:t>
      </w:r>
    </w:p>
    <w:p w:rsidR="00AB3C6B" w:rsidRPr="007D2BD0" w:rsidRDefault="003F07DA" w:rsidP="00216E63">
      <w:pPr>
        <w:pStyle w:val="NoSpacing"/>
        <w:spacing w:after="120"/>
        <w:rPr>
          <w:i/>
          <w:sz w:val="22"/>
          <w:lang w:val="en"/>
        </w:rPr>
      </w:pPr>
      <w:r w:rsidRPr="007D2BD0">
        <w:rPr>
          <w:i/>
          <w:sz w:val="22"/>
          <w:lang w:val="en"/>
        </w:rPr>
        <w:t>The assessment will be published on the Council website.</w:t>
      </w:r>
    </w:p>
    <w:p w:rsidR="00110F09" w:rsidRDefault="00110F09" w:rsidP="003F07DA">
      <w:pPr>
        <w:rPr>
          <w:b/>
        </w:rPr>
      </w:pPr>
    </w:p>
    <w:p w:rsidR="00C546A8" w:rsidRDefault="00C546A8" w:rsidP="003F07DA">
      <w:pPr>
        <w:rPr>
          <w:b/>
        </w:rPr>
      </w:pPr>
    </w:p>
    <w:p w:rsidR="003F07DA" w:rsidRPr="00436048" w:rsidRDefault="003F07DA" w:rsidP="003F07DA">
      <w:pPr>
        <w:rPr>
          <w:b/>
        </w:rPr>
      </w:pPr>
      <w:r w:rsidRPr="00436048">
        <w:rPr>
          <w:b/>
        </w:rPr>
        <w:t xml:space="preserve">Equality Impact Assessment Sign off: </w:t>
      </w:r>
      <w:r w:rsidRPr="00436048">
        <w:rPr>
          <w:rFonts w:eastAsia="Times New Roman"/>
          <w:b/>
          <w:lang w:val="en"/>
        </w:rPr>
        <w:t>For completion by Director or Head of Service</w:t>
      </w:r>
    </w:p>
    <w:p w:rsidR="003F07DA" w:rsidRDefault="003F07DA" w:rsidP="003F07DA">
      <w:pPr>
        <w:shd w:val="clear" w:color="auto" w:fill="FFFFFF"/>
        <w:rPr>
          <w:rFonts w:eastAsia="Times New Roman" w:cs="Arial"/>
          <w:color w:val="333333"/>
          <w:lang w:val="en"/>
        </w:rPr>
      </w:pPr>
    </w:p>
    <w:p w:rsidR="003F07DA" w:rsidRPr="00A05407" w:rsidRDefault="003F07DA" w:rsidP="003F07DA">
      <w:pPr>
        <w:pStyle w:val="NoSpacing"/>
        <w:numPr>
          <w:ilvl w:val="0"/>
          <w:numId w:val="12"/>
        </w:numPr>
        <w:rPr>
          <w:lang w:val="en"/>
        </w:rPr>
      </w:pPr>
      <w:r w:rsidRPr="00A05407">
        <w:rPr>
          <w:lang w:val="en"/>
        </w:rPr>
        <w:t>Please check if you are satisfied that the foll</w:t>
      </w:r>
      <w:r>
        <w:rPr>
          <w:lang w:val="en"/>
        </w:rPr>
        <w:t xml:space="preserve">owing elements of the EQIA have </w:t>
      </w:r>
      <w:r w:rsidRPr="00A05407">
        <w:rPr>
          <w:lang w:val="en"/>
        </w:rPr>
        <w:t>been considered:</w:t>
      </w:r>
    </w:p>
    <w:p w:rsidR="003F07DA" w:rsidRDefault="003F07DA" w:rsidP="003F07DA">
      <w:pPr>
        <w:shd w:val="clear" w:color="auto" w:fill="FFFFFF"/>
        <w:spacing w:after="240"/>
        <w:rPr>
          <w:rFonts w:eastAsia="Times New Roman" w:cs="Arial"/>
          <w:color w:val="333333"/>
          <w:lang w:val="en"/>
        </w:rPr>
      </w:pPr>
      <w:r w:rsidRPr="005A1948">
        <w:rPr>
          <w:rFonts w:eastAsia="Times New Roman" w:cs="Arial"/>
          <w:color w:val="333333"/>
          <w:szCs w:val="24"/>
          <w:bdr w:val="nil"/>
          <w:lang w:val="en"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25pt;height:18pt" o:ole="">
            <v:imagedata r:id="rId9" o:title=""/>
          </v:shape>
          <w:control r:id="rId10" w:name="DefaultOcxName116" w:shapeid="_x0000_i1040"/>
        </w:object>
      </w:r>
      <w:r w:rsidRPr="005A1948">
        <w:rPr>
          <w:rFonts w:eastAsia="Times New Roman" w:cs="Arial"/>
          <w:color w:val="333333"/>
          <w:lang w:val="en"/>
        </w:rPr>
        <w:t>Gathering information</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43" type="#_x0000_t75" style="width:20.25pt;height:18pt" o:ole="">
            <v:imagedata r:id="rId9" o:title=""/>
          </v:shape>
          <w:control r:id="rId11" w:name="DefaultOcxName212" w:shapeid="_x0000_i1043"/>
        </w:object>
      </w:r>
      <w:r w:rsidRPr="005A1948">
        <w:rPr>
          <w:rFonts w:eastAsia="Times New Roman" w:cs="Arial"/>
          <w:color w:val="333333"/>
          <w:lang w:val="en"/>
        </w:rPr>
        <w:t>Consultation and involvement</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46" type="#_x0000_t75" style="width:20.25pt;height:18pt" o:ole="">
            <v:imagedata r:id="rId9" o:title=""/>
          </v:shape>
          <w:control r:id="rId12" w:name="DefaultOcxName38" w:shapeid="_x0000_i1046"/>
        </w:object>
      </w:r>
      <w:r w:rsidRPr="005A1948">
        <w:rPr>
          <w:rFonts w:eastAsia="Times New Roman" w:cs="Arial"/>
          <w:color w:val="333333"/>
          <w:lang w:val="en"/>
        </w:rPr>
        <w:t>Assessing impact for all protected characteristics</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49" type="#_x0000_t75" style="width:20.25pt;height:18pt" o:ole="">
            <v:imagedata r:id="rId9" o:title=""/>
          </v:shape>
          <w:control r:id="rId13" w:name="DefaultOcxName45" w:shapeid="_x0000_i1049"/>
        </w:object>
      </w:r>
      <w:r w:rsidRPr="005A1948">
        <w:rPr>
          <w:rFonts w:eastAsia="Times New Roman" w:cs="Arial"/>
          <w:color w:val="333333"/>
          <w:lang w:val="en"/>
        </w:rPr>
        <w:t>Mitigating actions identified (if required</w:t>
      </w:r>
      <w:proofErr w:type="gramStart"/>
      <w:r w:rsidRPr="005A1948">
        <w:rPr>
          <w:rFonts w:eastAsia="Times New Roman" w:cs="Arial"/>
          <w:color w:val="333333"/>
          <w:lang w:val="en"/>
        </w:rPr>
        <w:t>)</w:t>
      </w:r>
      <w:proofErr w:type="gramEnd"/>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52" type="#_x0000_t75" style="width:20.25pt;height:18pt" o:ole="">
            <v:imagedata r:id="rId9" o:title=""/>
          </v:shape>
          <w:control r:id="rId14" w:name="DefaultOcxName54" w:shapeid="_x0000_i1052"/>
        </w:object>
      </w:r>
      <w:r w:rsidRPr="005A1948">
        <w:rPr>
          <w:rFonts w:eastAsia="Times New Roman" w:cs="Arial"/>
          <w:color w:val="333333"/>
          <w:lang w:val="en"/>
        </w:rPr>
        <w:t>Opportunity to promote equality</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55" type="#_x0000_t75" style="width:20.25pt;height:18pt" o:ole="">
            <v:imagedata r:id="rId9" o:title=""/>
          </v:shape>
          <w:control r:id="rId15" w:name="DefaultOcxName64" w:shapeid="_x0000_i1055"/>
        </w:object>
      </w:r>
      <w:r w:rsidRPr="005A1948">
        <w:rPr>
          <w:rFonts w:eastAsia="Times New Roman" w:cs="Arial"/>
          <w:color w:val="333333"/>
          <w:lang w:val="en"/>
        </w:rPr>
        <w:t>Arrangements to monitor and review</w:t>
      </w:r>
      <w:r w:rsidRPr="005A1948">
        <w:rPr>
          <w:rFonts w:eastAsia="Times New Roman" w:cs="Arial"/>
          <w:color w:val="333333"/>
          <w:lang w:val="en"/>
        </w:rPr>
        <w:br/>
      </w:r>
      <w:r w:rsidRPr="005A1948">
        <w:rPr>
          <w:rFonts w:eastAsia="Times New Roman" w:cs="Arial"/>
          <w:color w:val="333333"/>
          <w:szCs w:val="24"/>
          <w:bdr w:val="nil"/>
          <w:lang w:val="en" w:eastAsia="en-US"/>
        </w:rPr>
        <w:object w:dxaOrig="225" w:dyaOrig="225">
          <v:shape id="_x0000_i1058" type="#_x0000_t75" style="width:20.25pt;height:18pt" o:ole="">
            <v:imagedata r:id="rId9" o:title=""/>
          </v:shape>
          <w:control r:id="rId16" w:name="DefaultOcxName73" w:shapeid="_x0000_i1058"/>
        </w:object>
      </w:r>
      <w:r w:rsidRPr="005A1948">
        <w:rPr>
          <w:rFonts w:eastAsia="Times New Roman" w:cs="Arial"/>
          <w:color w:val="333333"/>
          <w:lang w:val="en"/>
        </w:rPr>
        <w:t>Publication arrangements</w:t>
      </w:r>
      <w:r>
        <w:rPr>
          <w:rFonts w:eastAsia="Times New Roman" w:cs="Arial"/>
          <w:color w:val="333333"/>
          <w:lang w:val="en"/>
        </w:rPr>
        <w:br/>
      </w:r>
    </w:p>
    <w:p w:rsidR="003F07DA" w:rsidRDefault="003F07DA" w:rsidP="003F07DA">
      <w:pPr>
        <w:shd w:val="clear" w:color="auto" w:fill="FFFFFF"/>
        <w:spacing w:after="240"/>
      </w:pPr>
      <w:r>
        <w:rPr>
          <w:rFonts w:eastAsia="Times New Roman" w:cs="Arial"/>
          <w:color w:val="333333"/>
          <w:lang w:val="en"/>
        </w:rPr>
        <w:t xml:space="preserve">2.  </w:t>
      </w:r>
      <w:r>
        <w:rPr>
          <w:rFonts w:eastAsia="Times New Roman" w:cs="Arial"/>
          <w:color w:val="333333"/>
          <w:lang w:val="en"/>
        </w:rPr>
        <w:tab/>
      </w:r>
      <w:proofErr w:type="gramStart"/>
      <w:r>
        <w:rPr>
          <w:rFonts w:eastAsia="Times New Roman" w:cs="Arial"/>
          <w:color w:val="333333"/>
          <w:lang w:val="en"/>
        </w:rPr>
        <w:t>a</w:t>
      </w:r>
      <w:proofErr w:type="gramEnd"/>
      <w:r>
        <w:rPr>
          <w:rFonts w:eastAsia="Times New Roman" w:cs="Arial"/>
          <w:color w:val="333333"/>
          <w:lang w:val="en"/>
        </w:rPr>
        <w:t xml:space="preserve">) </w:t>
      </w:r>
      <w:r w:rsidRPr="00A05407">
        <w:rPr>
          <w:rFonts w:eastAsia="Times New Roman" w:cs="Arial"/>
          <w:color w:val="333333"/>
          <w:lang w:val="en"/>
        </w:rPr>
        <w:t>Are you prepared to sign off the EQIA?</w:t>
      </w:r>
      <w:r>
        <w:rPr>
          <w:rFonts w:eastAsia="Times New Roman" w:cs="Arial"/>
          <w:color w:val="333333"/>
          <w:lang w:val="en"/>
        </w:rPr>
        <w:t xml:space="preserve"> </w:t>
      </w:r>
      <w:r>
        <w:rPr>
          <w:rFonts w:eastAsia="Times New Roman" w:cs="Arial"/>
          <w:color w:val="333333"/>
          <w:lang w:val="en"/>
        </w:rPr>
        <w:tab/>
      </w:r>
      <w:r>
        <w:tab/>
        <w:t xml:space="preserve">YES </w:t>
      </w:r>
      <w:r w:rsidRPr="00FB4D57">
        <w:rPr>
          <w:sz w:val="40"/>
          <w:szCs w:val="40"/>
        </w:rPr>
        <w:sym w:font="Wingdings" w:char="F06F"/>
      </w:r>
      <w:r>
        <w:rPr>
          <w:sz w:val="40"/>
          <w:szCs w:val="40"/>
        </w:rPr>
        <w:tab/>
      </w:r>
      <w:r w:rsidRPr="00FB4D57">
        <w:t>NO</w:t>
      </w:r>
      <w:r w:rsidRPr="00FB4D57">
        <w:rPr>
          <w:sz w:val="40"/>
          <w:szCs w:val="40"/>
        </w:rPr>
        <w:sym w:font="Wingdings" w:char="F06F"/>
      </w:r>
    </w:p>
    <w:p w:rsidR="003F07DA" w:rsidRDefault="003F07DA" w:rsidP="003F07DA">
      <w:r>
        <w:rPr>
          <w:rFonts w:eastAsia="Times New Roman" w:cs="Arial"/>
          <w:color w:val="333333"/>
          <w:lang w:val="en"/>
        </w:rPr>
        <w:tab/>
        <w:t xml:space="preserve">b) </w:t>
      </w:r>
      <w:r w:rsidRPr="005A1948">
        <w:rPr>
          <w:rFonts w:eastAsia="Times New Roman" w:cs="Arial"/>
          <w:color w:val="333333"/>
          <w:lang w:val="en"/>
        </w:rPr>
        <w:t>If "NO" provide details of why and next steps</w:t>
      </w:r>
    </w:p>
    <w:p w:rsidR="003F07DA" w:rsidRDefault="003F07DA" w:rsidP="003F07DA"/>
    <w:p w:rsidR="003F07DA" w:rsidRDefault="003F07DA" w:rsidP="003F07DA"/>
    <w:p w:rsidR="003F07DA" w:rsidRDefault="003F07DA" w:rsidP="003F07DA">
      <w:proofErr w:type="gramStart"/>
      <w:r>
        <w:t>Name</w:t>
      </w:r>
      <w:r w:rsidR="002F26C4">
        <w:t>.</w:t>
      </w:r>
      <w:proofErr w:type="gramEnd"/>
      <w:r w:rsidR="002F26C4">
        <w:t xml:space="preserve"> A Clark</w:t>
      </w:r>
    </w:p>
    <w:p w:rsidR="003F07DA" w:rsidRDefault="003F07DA" w:rsidP="003F07DA"/>
    <w:p w:rsidR="000468A6" w:rsidRDefault="003F07DA">
      <w:r>
        <w:t>Position</w:t>
      </w:r>
      <w:r w:rsidR="002F26C4">
        <w:t>: Acting Head of Policy</w:t>
      </w:r>
      <w:r>
        <w:tab/>
      </w:r>
      <w:r>
        <w:tab/>
      </w:r>
      <w:r>
        <w:tab/>
      </w:r>
      <w:r>
        <w:tab/>
      </w:r>
      <w:r>
        <w:tab/>
        <w:t>Date:</w:t>
      </w:r>
      <w:r w:rsidR="002F26C4">
        <w:t xml:space="preserve"> 19-1-18</w:t>
      </w:r>
      <w:bookmarkStart w:id="1" w:name="_GoBack"/>
      <w:bookmarkEnd w:id="1"/>
    </w:p>
    <w:sectPr w:rsidR="00046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F555A"/>
    <w:multiLevelType w:val="hybridMultilevel"/>
    <w:tmpl w:val="59FEF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38161F"/>
    <w:multiLevelType w:val="hybridMultilevel"/>
    <w:tmpl w:val="C598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E52B61"/>
    <w:multiLevelType w:val="hybridMultilevel"/>
    <w:tmpl w:val="EAA0A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AD0FD5"/>
    <w:multiLevelType w:val="hybridMultilevel"/>
    <w:tmpl w:val="A33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64791"/>
    <w:multiLevelType w:val="hybridMultilevel"/>
    <w:tmpl w:val="A82C3E9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E935E5"/>
    <w:multiLevelType w:val="hybridMultilevel"/>
    <w:tmpl w:val="B146549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447575E"/>
    <w:multiLevelType w:val="hybridMultilevel"/>
    <w:tmpl w:val="0BE0027A"/>
    <w:lvl w:ilvl="0" w:tplc="ADAA055E">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E11EA2"/>
    <w:multiLevelType w:val="hybridMultilevel"/>
    <w:tmpl w:val="40AEB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434162D"/>
    <w:multiLevelType w:val="hybridMultilevel"/>
    <w:tmpl w:val="3A9CDB9A"/>
    <w:lvl w:ilvl="0" w:tplc="9374435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88C026C"/>
    <w:multiLevelType w:val="hybridMultilevel"/>
    <w:tmpl w:val="A33CD7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DB5665"/>
    <w:multiLevelType w:val="hybridMultilevel"/>
    <w:tmpl w:val="36501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BE136F1"/>
    <w:multiLevelType w:val="hybridMultilevel"/>
    <w:tmpl w:val="1206D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10"/>
  </w:num>
  <w:num w:numId="5">
    <w:abstractNumId w:val="2"/>
  </w:num>
  <w:num w:numId="6">
    <w:abstractNumId w:val="0"/>
  </w:num>
  <w:num w:numId="7">
    <w:abstractNumId w:val="9"/>
  </w:num>
  <w:num w:numId="8">
    <w:abstractNumId w:val="11"/>
  </w:num>
  <w:num w:numId="9">
    <w:abstractNumId w:val="1"/>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6B"/>
    <w:rsid w:val="0000631D"/>
    <w:rsid w:val="000468A6"/>
    <w:rsid w:val="00071E81"/>
    <w:rsid w:val="000A1F15"/>
    <w:rsid w:val="00110F09"/>
    <w:rsid w:val="001243C4"/>
    <w:rsid w:val="001532A2"/>
    <w:rsid w:val="00164636"/>
    <w:rsid w:val="00177353"/>
    <w:rsid w:val="00185361"/>
    <w:rsid w:val="0019717D"/>
    <w:rsid w:val="001A2875"/>
    <w:rsid w:val="001C15FB"/>
    <w:rsid w:val="001C4C0F"/>
    <w:rsid w:val="001C77E7"/>
    <w:rsid w:val="00216E63"/>
    <w:rsid w:val="00220AF5"/>
    <w:rsid w:val="002B65C5"/>
    <w:rsid w:val="002E59C6"/>
    <w:rsid w:val="002F26C4"/>
    <w:rsid w:val="00304DA8"/>
    <w:rsid w:val="00310AB9"/>
    <w:rsid w:val="00336C57"/>
    <w:rsid w:val="00360D10"/>
    <w:rsid w:val="003A6E16"/>
    <w:rsid w:val="003A79FF"/>
    <w:rsid w:val="003D191B"/>
    <w:rsid w:val="003E7D69"/>
    <w:rsid w:val="003F07DA"/>
    <w:rsid w:val="00412182"/>
    <w:rsid w:val="0042158A"/>
    <w:rsid w:val="004641EE"/>
    <w:rsid w:val="004739D1"/>
    <w:rsid w:val="00495EC9"/>
    <w:rsid w:val="00522380"/>
    <w:rsid w:val="0059457E"/>
    <w:rsid w:val="005B6980"/>
    <w:rsid w:val="005F3E11"/>
    <w:rsid w:val="006013D7"/>
    <w:rsid w:val="00604237"/>
    <w:rsid w:val="00614170"/>
    <w:rsid w:val="00622D08"/>
    <w:rsid w:val="00636FC5"/>
    <w:rsid w:val="00646A49"/>
    <w:rsid w:val="0066744C"/>
    <w:rsid w:val="00686DB4"/>
    <w:rsid w:val="00687801"/>
    <w:rsid w:val="0073600E"/>
    <w:rsid w:val="00746CAE"/>
    <w:rsid w:val="00752E09"/>
    <w:rsid w:val="007851B3"/>
    <w:rsid w:val="007B5512"/>
    <w:rsid w:val="007D2BD0"/>
    <w:rsid w:val="007D5762"/>
    <w:rsid w:val="007E4B2B"/>
    <w:rsid w:val="0081773C"/>
    <w:rsid w:val="008444D5"/>
    <w:rsid w:val="008B5704"/>
    <w:rsid w:val="009053CD"/>
    <w:rsid w:val="009729D0"/>
    <w:rsid w:val="009A6364"/>
    <w:rsid w:val="00A51024"/>
    <w:rsid w:val="00A7290F"/>
    <w:rsid w:val="00AB3C6B"/>
    <w:rsid w:val="00B237C8"/>
    <w:rsid w:val="00B9697B"/>
    <w:rsid w:val="00C35A93"/>
    <w:rsid w:val="00C413D7"/>
    <w:rsid w:val="00C447E4"/>
    <w:rsid w:val="00C546A8"/>
    <w:rsid w:val="00C81D44"/>
    <w:rsid w:val="00CC751E"/>
    <w:rsid w:val="00D076B8"/>
    <w:rsid w:val="00DA05A4"/>
    <w:rsid w:val="00DA69DE"/>
    <w:rsid w:val="00DF315E"/>
    <w:rsid w:val="00EB691F"/>
    <w:rsid w:val="00EE2CED"/>
    <w:rsid w:val="00EE3CD1"/>
    <w:rsid w:val="00F6790F"/>
    <w:rsid w:val="00F73767"/>
    <w:rsid w:val="00F7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6B"/>
    <w:pPr>
      <w:spacing w:line="240" w:lineRule="auto"/>
    </w:pPr>
    <w:rPr>
      <w:rFonts w:ascii="Arial" w:hAnsi="Arial"/>
      <w:sz w:val="24"/>
      <w:lang w:eastAsia="en-GB"/>
    </w:rPr>
  </w:style>
  <w:style w:type="paragraph" w:styleId="Heading2">
    <w:name w:val="heading 2"/>
    <w:basedOn w:val="Normal"/>
    <w:next w:val="Normal"/>
    <w:link w:val="Heading2Char"/>
    <w:uiPriority w:val="9"/>
    <w:unhideWhenUsed/>
    <w:qFormat/>
    <w:rsid w:val="00AB3C6B"/>
    <w:pPr>
      <w:keepNext/>
      <w:keepLines/>
      <w:spacing w:before="200" w:after="12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C6B"/>
    <w:rPr>
      <w:rFonts w:ascii="Arial" w:eastAsiaTheme="majorEastAsia" w:hAnsi="Arial" w:cstheme="majorBidi"/>
      <w:b/>
      <w:bCs/>
      <w:sz w:val="28"/>
      <w:szCs w:val="26"/>
      <w:lang w:eastAsia="en-GB"/>
    </w:rPr>
  </w:style>
  <w:style w:type="character" w:styleId="Hyperlink">
    <w:name w:val="Hyperlink"/>
    <w:basedOn w:val="DefaultParagraphFont"/>
    <w:uiPriority w:val="99"/>
    <w:unhideWhenUsed/>
    <w:rsid w:val="00AB3C6B"/>
    <w:rPr>
      <w:color w:val="111111"/>
      <w:u w:val="single"/>
    </w:rPr>
  </w:style>
  <w:style w:type="paragraph" w:styleId="NoSpacing">
    <w:name w:val="No Spacing"/>
    <w:link w:val="NoSpacingChar"/>
    <w:uiPriority w:val="1"/>
    <w:qFormat/>
    <w:rsid w:val="00AB3C6B"/>
    <w:pPr>
      <w:spacing w:after="0" w:line="240" w:lineRule="auto"/>
    </w:pPr>
    <w:rPr>
      <w:rFonts w:ascii="Arial" w:hAnsi="Arial"/>
      <w:sz w:val="24"/>
      <w:lang w:eastAsia="en-GB"/>
    </w:rPr>
  </w:style>
  <w:style w:type="character" w:customStyle="1" w:styleId="StyleHyperlinkArial12ptNotBoldBlueUnderline">
    <w:name w:val="Style Hyperlink + Arial 12 pt Not Bold Blue Underline"/>
    <w:rsid w:val="00AB3C6B"/>
    <w:rPr>
      <w:rFonts w:ascii="Arial" w:hAnsi="Arial" w:hint="default"/>
      <w:bCs/>
      <w:strike w:val="0"/>
      <w:dstrike w:val="0"/>
      <w:color w:val="0000FF"/>
      <w:sz w:val="24"/>
      <w:szCs w:val="16"/>
      <w:u w:val="single"/>
      <w:effect w:val="none"/>
    </w:rPr>
  </w:style>
  <w:style w:type="character" w:customStyle="1" w:styleId="NoSpacingChar">
    <w:name w:val="No Spacing Char"/>
    <w:basedOn w:val="DefaultParagraphFont"/>
    <w:link w:val="NoSpacing"/>
    <w:uiPriority w:val="1"/>
    <w:rsid w:val="00AB3C6B"/>
    <w:rPr>
      <w:rFonts w:ascii="Arial" w:hAnsi="Arial"/>
      <w:sz w:val="24"/>
      <w:lang w:eastAsia="en-GB"/>
    </w:rPr>
  </w:style>
  <w:style w:type="paragraph" w:styleId="BalloonText">
    <w:name w:val="Balloon Text"/>
    <w:basedOn w:val="Normal"/>
    <w:link w:val="BalloonTextChar"/>
    <w:uiPriority w:val="99"/>
    <w:semiHidden/>
    <w:unhideWhenUsed/>
    <w:rsid w:val="00AB3C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hAnsi="Tahoma" w:cs="Tahoma"/>
      <w:sz w:val="16"/>
      <w:szCs w:val="16"/>
      <w:lang w:eastAsia="en-GB"/>
    </w:rPr>
  </w:style>
  <w:style w:type="paragraph" w:styleId="ListParagraph">
    <w:name w:val="List Paragraph"/>
    <w:basedOn w:val="Normal"/>
    <w:uiPriority w:val="34"/>
    <w:qFormat/>
    <w:rsid w:val="00304DA8"/>
    <w:pPr>
      <w:pBdr>
        <w:top w:val="nil"/>
        <w:left w:val="nil"/>
        <w:bottom w:val="nil"/>
        <w:right w:val="nil"/>
        <w:between w:val="nil"/>
        <w:bar w:val="nil"/>
      </w:pBdr>
      <w:spacing w:after="0"/>
      <w:ind w:left="720"/>
      <w:contextualSpacing/>
    </w:pPr>
    <w:rPr>
      <w:rFonts w:eastAsia="Arial Unicode MS" w:cs="Times New Roman"/>
      <w:szCs w:val="24"/>
      <w:bdr w:val="nil"/>
      <w:lang w:val="en-US" w:eastAsia="en-US"/>
    </w:rPr>
  </w:style>
  <w:style w:type="table" w:styleId="TableGrid">
    <w:name w:val="Table Grid"/>
    <w:basedOn w:val="TableNormal"/>
    <w:uiPriority w:val="59"/>
    <w:rsid w:val="00304DA8"/>
    <w:pPr>
      <w:spacing w:after="0" w:line="240" w:lineRule="auto"/>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6364"/>
    <w:rPr>
      <w:color w:val="800080" w:themeColor="followedHyperlink"/>
      <w:u w:val="single"/>
    </w:rPr>
  </w:style>
  <w:style w:type="paragraph" w:styleId="NormalWeb">
    <w:name w:val="Normal (Web)"/>
    <w:basedOn w:val="Normal"/>
    <w:uiPriority w:val="99"/>
    <w:semiHidden/>
    <w:unhideWhenUsed/>
    <w:rsid w:val="00B9697B"/>
    <w:pPr>
      <w:spacing w:after="150"/>
    </w:pPr>
    <w:rPr>
      <w:rFonts w:ascii="Times New Roman" w:eastAsia="Times New Roman" w:hAnsi="Times New Roman" w:cs="Times New Roman"/>
      <w:szCs w:val="24"/>
    </w:rPr>
  </w:style>
  <w:style w:type="paragraph" w:customStyle="1" w:styleId="Default">
    <w:name w:val="Default"/>
    <w:rsid w:val="00F73767"/>
    <w:pPr>
      <w:autoSpaceDE w:val="0"/>
      <w:autoSpaceDN w:val="0"/>
      <w:adjustRightInd w:val="0"/>
      <w:spacing w:after="0" w:line="240" w:lineRule="auto"/>
    </w:pPr>
    <w:rPr>
      <w:rFonts w:ascii="Arial" w:hAnsi="Arial" w:cs="Arial"/>
      <w:color w:val="000000"/>
      <w:sz w:val="24"/>
      <w:szCs w:val="24"/>
    </w:rPr>
  </w:style>
  <w:style w:type="paragraph" w:customStyle="1" w:styleId="CharCharChar">
    <w:name w:val="Char Char Char"/>
    <w:basedOn w:val="Normal"/>
    <w:rsid w:val="008444D5"/>
    <w:pPr>
      <w:spacing w:after="160" w:line="240" w:lineRule="exact"/>
    </w:pPr>
    <w:rPr>
      <w:rFonts w:ascii="Verdana" w:eastAsia="Times New Roman"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C6B"/>
    <w:pPr>
      <w:spacing w:line="240" w:lineRule="auto"/>
    </w:pPr>
    <w:rPr>
      <w:rFonts w:ascii="Arial" w:hAnsi="Arial"/>
      <w:sz w:val="24"/>
      <w:lang w:eastAsia="en-GB"/>
    </w:rPr>
  </w:style>
  <w:style w:type="paragraph" w:styleId="Heading2">
    <w:name w:val="heading 2"/>
    <w:basedOn w:val="Normal"/>
    <w:next w:val="Normal"/>
    <w:link w:val="Heading2Char"/>
    <w:uiPriority w:val="9"/>
    <w:unhideWhenUsed/>
    <w:qFormat/>
    <w:rsid w:val="00AB3C6B"/>
    <w:pPr>
      <w:keepNext/>
      <w:keepLines/>
      <w:spacing w:before="200" w:after="12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C6B"/>
    <w:rPr>
      <w:rFonts w:ascii="Arial" w:eastAsiaTheme="majorEastAsia" w:hAnsi="Arial" w:cstheme="majorBidi"/>
      <w:b/>
      <w:bCs/>
      <w:sz w:val="28"/>
      <w:szCs w:val="26"/>
      <w:lang w:eastAsia="en-GB"/>
    </w:rPr>
  </w:style>
  <w:style w:type="character" w:styleId="Hyperlink">
    <w:name w:val="Hyperlink"/>
    <w:basedOn w:val="DefaultParagraphFont"/>
    <w:uiPriority w:val="99"/>
    <w:unhideWhenUsed/>
    <w:rsid w:val="00AB3C6B"/>
    <w:rPr>
      <w:color w:val="111111"/>
      <w:u w:val="single"/>
    </w:rPr>
  </w:style>
  <w:style w:type="paragraph" w:styleId="NoSpacing">
    <w:name w:val="No Spacing"/>
    <w:link w:val="NoSpacingChar"/>
    <w:uiPriority w:val="1"/>
    <w:qFormat/>
    <w:rsid w:val="00AB3C6B"/>
    <w:pPr>
      <w:spacing w:after="0" w:line="240" w:lineRule="auto"/>
    </w:pPr>
    <w:rPr>
      <w:rFonts w:ascii="Arial" w:hAnsi="Arial"/>
      <w:sz w:val="24"/>
      <w:lang w:eastAsia="en-GB"/>
    </w:rPr>
  </w:style>
  <w:style w:type="character" w:customStyle="1" w:styleId="StyleHyperlinkArial12ptNotBoldBlueUnderline">
    <w:name w:val="Style Hyperlink + Arial 12 pt Not Bold Blue Underline"/>
    <w:rsid w:val="00AB3C6B"/>
    <w:rPr>
      <w:rFonts w:ascii="Arial" w:hAnsi="Arial" w:hint="default"/>
      <w:bCs/>
      <w:strike w:val="0"/>
      <w:dstrike w:val="0"/>
      <w:color w:val="0000FF"/>
      <w:sz w:val="24"/>
      <w:szCs w:val="16"/>
      <w:u w:val="single"/>
      <w:effect w:val="none"/>
    </w:rPr>
  </w:style>
  <w:style w:type="character" w:customStyle="1" w:styleId="NoSpacingChar">
    <w:name w:val="No Spacing Char"/>
    <w:basedOn w:val="DefaultParagraphFont"/>
    <w:link w:val="NoSpacing"/>
    <w:uiPriority w:val="1"/>
    <w:rsid w:val="00AB3C6B"/>
    <w:rPr>
      <w:rFonts w:ascii="Arial" w:hAnsi="Arial"/>
      <w:sz w:val="24"/>
      <w:lang w:eastAsia="en-GB"/>
    </w:rPr>
  </w:style>
  <w:style w:type="paragraph" w:styleId="BalloonText">
    <w:name w:val="Balloon Text"/>
    <w:basedOn w:val="Normal"/>
    <w:link w:val="BalloonTextChar"/>
    <w:uiPriority w:val="99"/>
    <w:semiHidden/>
    <w:unhideWhenUsed/>
    <w:rsid w:val="00AB3C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C6B"/>
    <w:rPr>
      <w:rFonts w:ascii="Tahoma" w:hAnsi="Tahoma" w:cs="Tahoma"/>
      <w:sz w:val="16"/>
      <w:szCs w:val="16"/>
      <w:lang w:eastAsia="en-GB"/>
    </w:rPr>
  </w:style>
  <w:style w:type="paragraph" w:styleId="ListParagraph">
    <w:name w:val="List Paragraph"/>
    <w:basedOn w:val="Normal"/>
    <w:uiPriority w:val="34"/>
    <w:qFormat/>
    <w:rsid w:val="00304DA8"/>
    <w:pPr>
      <w:pBdr>
        <w:top w:val="nil"/>
        <w:left w:val="nil"/>
        <w:bottom w:val="nil"/>
        <w:right w:val="nil"/>
        <w:between w:val="nil"/>
        <w:bar w:val="nil"/>
      </w:pBdr>
      <w:spacing w:after="0"/>
      <w:ind w:left="720"/>
      <w:contextualSpacing/>
    </w:pPr>
    <w:rPr>
      <w:rFonts w:eastAsia="Arial Unicode MS" w:cs="Times New Roman"/>
      <w:szCs w:val="24"/>
      <w:bdr w:val="nil"/>
      <w:lang w:val="en-US" w:eastAsia="en-US"/>
    </w:rPr>
  </w:style>
  <w:style w:type="table" w:styleId="TableGrid">
    <w:name w:val="Table Grid"/>
    <w:basedOn w:val="TableNormal"/>
    <w:uiPriority w:val="59"/>
    <w:rsid w:val="00304DA8"/>
    <w:pPr>
      <w:spacing w:after="0" w:line="240" w:lineRule="auto"/>
    </w:pPr>
    <w:rPr>
      <w:rFonts w:eastAsia="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A6364"/>
    <w:rPr>
      <w:color w:val="800080" w:themeColor="followedHyperlink"/>
      <w:u w:val="single"/>
    </w:rPr>
  </w:style>
  <w:style w:type="paragraph" w:styleId="NormalWeb">
    <w:name w:val="Normal (Web)"/>
    <w:basedOn w:val="Normal"/>
    <w:uiPriority w:val="99"/>
    <w:semiHidden/>
    <w:unhideWhenUsed/>
    <w:rsid w:val="00B9697B"/>
    <w:pPr>
      <w:spacing w:after="150"/>
    </w:pPr>
    <w:rPr>
      <w:rFonts w:ascii="Times New Roman" w:eastAsia="Times New Roman" w:hAnsi="Times New Roman" w:cs="Times New Roman"/>
      <w:szCs w:val="24"/>
    </w:rPr>
  </w:style>
  <w:style w:type="paragraph" w:customStyle="1" w:styleId="Default">
    <w:name w:val="Default"/>
    <w:rsid w:val="00F73767"/>
    <w:pPr>
      <w:autoSpaceDE w:val="0"/>
      <w:autoSpaceDN w:val="0"/>
      <w:adjustRightInd w:val="0"/>
      <w:spacing w:after="0" w:line="240" w:lineRule="auto"/>
    </w:pPr>
    <w:rPr>
      <w:rFonts w:ascii="Arial" w:hAnsi="Arial" w:cs="Arial"/>
      <w:color w:val="000000"/>
      <w:sz w:val="24"/>
      <w:szCs w:val="24"/>
    </w:rPr>
  </w:style>
  <w:style w:type="paragraph" w:customStyle="1" w:styleId="CharCharChar">
    <w:name w:val="Char Char Char"/>
    <w:basedOn w:val="Normal"/>
    <w:rsid w:val="008444D5"/>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3427">
      <w:bodyDiv w:val="1"/>
      <w:marLeft w:val="0"/>
      <w:marRight w:val="0"/>
      <w:marTop w:val="0"/>
      <w:marBottom w:val="0"/>
      <w:divBdr>
        <w:top w:val="none" w:sz="0" w:space="0" w:color="auto"/>
        <w:left w:val="none" w:sz="0" w:space="0" w:color="auto"/>
        <w:bottom w:val="none" w:sz="0" w:space="0" w:color="auto"/>
        <w:right w:val="none" w:sz="0" w:space="0" w:color="auto"/>
      </w:divBdr>
    </w:div>
    <w:div w:id="189484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abilityequality.scot/" TargetMode="External"/><Relationship Id="rId13" Type="http://schemas.openxmlformats.org/officeDocument/2006/relationships/control" Target="activeX/activeX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equalityhumanrights.com/uploaded_files/Scotland/PSED_in_Scotland/essential_guide_to_the_psed.doc" TargetMode="Externa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control" Target="activeX/activeX6.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043F93B-4328-4704-8F10-552F9F7F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MacKinnon</dc:creator>
  <cp:lastModifiedBy>Alison Clark</cp:lastModifiedBy>
  <cp:revision>10</cp:revision>
  <cp:lastPrinted>2013-02-01T09:46:00Z</cp:lastPrinted>
  <dcterms:created xsi:type="dcterms:W3CDTF">2018-01-19T13:47:00Z</dcterms:created>
  <dcterms:modified xsi:type="dcterms:W3CDTF">2018-02-13T09:31:00Z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2077058118</vt:i4>
  </property>
  <property fmtid="{D5CDD505-2E9C-101B-9397-08002B2CF9AE}" pid="3" name="_NewReviewCycle">
    <vt:lpwstr/>
  </property>
  <property fmtid="{D5CDD505-2E9C-101B-9397-08002B2CF9AE}" pid="4" name="_EmailSubject">
    <vt:lpwstr>uploading files to web</vt:lpwstr>
  </property>
  <property fmtid="{D5CDD505-2E9C-101B-9397-08002B2CF9AE}" pid="5" name="_AuthorEmail">
    <vt:lpwstr>rosemary.mackinnon@highland.gov.uk</vt:lpwstr>
  </property>
  <property fmtid="{D5CDD505-2E9C-101B-9397-08002B2CF9AE}" pid="6" name="_AuthorEmailDisplayName">
    <vt:lpwstr>Rosemary MacKinnon</vt:lpwstr>
  </property>
  <property fmtid="{D5CDD505-2E9C-101B-9397-08002B2CF9AE}" pid="8" name="_PreviousAdHocReviewCycleID">
    <vt:i4>2077058118</vt:i4>
  </property>
</Properties>
</file>