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6B" w:rsidRDefault="0042158A" w:rsidP="00AB3C6B">
      <w:pPr>
        <w:pStyle w:val="Heading2"/>
        <w:rPr>
          <w:lang w:val="en"/>
        </w:rPr>
      </w:pPr>
      <w:bookmarkStart w:id="0" w:name="_Toc327356082"/>
      <w:r>
        <w:rPr>
          <w:lang w:val="en"/>
        </w:rPr>
        <w:t>Equality Impact Assessment</w:t>
      </w:r>
      <w:r w:rsidR="00AB3C6B">
        <w:rPr>
          <w:lang w:val="en"/>
        </w:rPr>
        <w:t xml:space="preserve">: </w:t>
      </w:r>
      <w:r w:rsidR="0019717D" w:rsidRPr="00EE3CD1">
        <w:rPr>
          <w:rFonts w:cs="Arial"/>
          <w:szCs w:val="24"/>
        </w:rPr>
        <w:t>CS</w:t>
      </w:r>
      <w:r w:rsidR="0030667A">
        <w:rPr>
          <w:rFonts w:cs="Arial"/>
          <w:szCs w:val="24"/>
        </w:rPr>
        <w:t xml:space="preserve">17 </w:t>
      </w:r>
      <w:r w:rsidR="0030667A">
        <w:rPr>
          <w:rFonts w:cs="Arial"/>
        </w:rPr>
        <w:t>Public Conveniences review</w:t>
      </w:r>
    </w:p>
    <w:p w:rsidR="008B5704" w:rsidRPr="00DE1EDA" w:rsidRDefault="008B5704" w:rsidP="008B5704">
      <w:pPr>
        <w:pStyle w:val="NoSpacing"/>
        <w:rPr>
          <w:rFonts w:cs="Arial"/>
          <w:b/>
          <w:szCs w:val="24"/>
        </w:rPr>
      </w:pPr>
      <w:r w:rsidRPr="00DE1EDA">
        <w:rPr>
          <w:rFonts w:cs="Arial"/>
          <w:b/>
          <w:szCs w:val="24"/>
        </w:rPr>
        <w:t>Purpose of the Equality Impact Assessment:</w:t>
      </w:r>
    </w:p>
    <w:p w:rsidR="008B5704" w:rsidRPr="00DE1EDA" w:rsidRDefault="008B5704" w:rsidP="008B5704">
      <w:pPr>
        <w:pStyle w:val="NoSpacing"/>
        <w:rPr>
          <w:rFonts w:cs="Arial"/>
          <w:color w:val="000000" w:themeColor="text1"/>
          <w:szCs w:val="24"/>
        </w:rPr>
      </w:pPr>
      <w:r w:rsidRPr="00DE1EDA">
        <w:rPr>
          <w:rFonts w:cs="Arial"/>
          <w:color w:val="000000" w:themeColor="text1"/>
          <w:szCs w:val="24"/>
        </w:rPr>
        <w:t xml:space="preserve">The Equality Act 2010 </w:t>
      </w:r>
      <w:r>
        <w:rPr>
          <w:rFonts w:cs="Arial"/>
          <w:color w:val="000000" w:themeColor="text1"/>
          <w:szCs w:val="24"/>
        </w:rPr>
        <w:t xml:space="preserve">introduced a </w:t>
      </w:r>
      <w:hyperlink r:id="rId7" w:history="1">
        <w:r w:rsidRPr="00DE1EDA">
          <w:rPr>
            <w:rStyle w:val="Hyperlink"/>
            <w:rFonts w:cs="Arial"/>
            <w:color w:val="000000" w:themeColor="text1"/>
            <w:szCs w:val="24"/>
          </w:rPr>
          <w:t>Public Sector Equality Duty</w:t>
        </w:r>
      </w:hyperlink>
      <w:r w:rsidRPr="00DE1EDA">
        <w:rPr>
          <w:rStyle w:val="Hyperlink"/>
          <w:rFonts w:cs="Arial"/>
          <w:color w:val="000000" w:themeColor="text1"/>
          <w:szCs w:val="24"/>
        </w:rPr>
        <w:t xml:space="preserve"> (PSED)</w:t>
      </w:r>
      <w:r w:rsidRPr="00DE1EDA">
        <w:rPr>
          <w:rFonts w:cs="Arial"/>
          <w:color w:val="000000" w:themeColor="text1"/>
          <w:szCs w:val="24"/>
        </w:rPr>
        <w:t xml:space="preserve"> </w:t>
      </w:r>
      <w:r>
        <w:rPr>
          <w:rFonts w:cs="Arial"/>
          <w:color w:val="000000" w:themeColor="text1"/>
          <w:szCs w:val="24"/>
        </w:rPr>
        <w:t>requiring</w:t>
      </w:r>
      <w:r w:rsidRPr="00DE1EDA">
        <w:rPr>
          <w:rFonts w:cs="Arial"/>
          <w:color w:val="000000" w:themeColor="text1"/>
          <w:szCs w:val="24"/>
        </w:rPr>
        <w:t xml:space="preserve"> public bodies to give due regard to the need to:</w:t>
      </w:r>
    </w:p>
    <w:p w:rsidR="008B5704" w:rsidRPr="00DE1EDA" w:rsidRDefault="008B5704" w:rsidP="008B5704">
      <w:pPr>
        <w:pStyle w:val="NoSpacing"/>
        <w:numPr>
          <w:ilvl w:val="0"/>
          <w:numId w:val="9"/>
        </w:numPr>
        <w:rPr>
          <w:rFonts w:cs="Arial"/>
          <w:color w:val="000000" w:themeColor="text1"/>
          <w:szCs w:val="24"/>
        </w:rPr>
      </w:pPr>
      <w:r w:rsidRPr="00DE1EDA">
        <w:rPr>
          <w:rFonts w:cs="Arial"/>
          <w:color w:val="000000" w:themeColor="text1"/>
          <w:szCs w:val="24"/>
        </w:rPr>
        <w:t>Eliminate unlawful discrimination</w:t>
      </w:r>
    </w:p>
    <w:p w:rsidR="008B5704" w:rsidRPr="00DE1EDA" w:rsidRDefault="008B5704" w:rsidP="008B5704">
      <w:pPr>
        <w:pStyle w:val="NoSpacing"/>
        <w:numPr>
          <w:ilvl w:val="0"/>
          <w:numId w:val="9"/>
        </w:numPr>
        <w:rPr>
          <w:rFonts w:cs="Arial"/>
          <w:color w:val="000000" w:themeColor="text1"/>
          <w:szCs w:val="24"/>
        </w:rPr>
      </w:pPr>
      <w:r w:rsidRPr="00DE1EDA">
        <w:rPr>
          <w:rFonts w:cs="Arial"/>
          <w:color w:val="000000" w:themeColor="text1"/>
          <w:szCs w:val="24"/>
        </w:rPr>
        <w:t xml:space="preserve">Advance equality of opportunity </w:t>
      </w:r>
    </w:p>
    <w:p w:rsidR="008B5704" w:rsidRPr="00DE1EDA" w:rsidRDefault="008B5704" w:rsidP="008B5704">
      <w:pPr>
        <w:pStyle w:val="NoSpacing"/>
        <w:numPr>
          <w:ilvl w:val="0"/>
          <w:numId w:val="9"/>
        </w:numPr>
        <w:rPr>
          <w:rFonts w:cs="Arial"/>
          <w:color w:val="000000" w:themeColor="text1"/>
          <w:szCs w:val="24"/>
        </w:rPr>
      </w:pPr>
      <w:r w:rsidRPr="00DE1EDA">
        <w:rPr>
          <w:rFonts w:cs="Arial"/>
          <w:color w:val="000000" w:themeColor="text1"/>
          <w:szCs w:val="24"/>
        </w:rPr>
        <w:t>Foster good relations</w:t>
      </w:r>
    </w:p>
    <w:p w:rsidR="008B5704" w:rsidRPr="00DE1EDA" w:rsidRDefault="008B5704" w:rsidP="008B5704">
      <w:pPr>
        <w:pStyle w:val="NoSpacing"/>
        <w:rPr>
          <w:rFonts w:cs="Arial"/>
          <w:color w:val="000000" w:themeColor="text1"/>
          <w:szCs w:val="24"/>
        </w:rPr>
      </w:pPr>
    </w:p>
    <w:p w:rsidR="008B5704" w:rsidRPr="00DE1EDA" w:rsidRDefault="008B5704" w:rsidP="008B5704">
      <w:pPr>
        <w:pStyle w:val="NoSpacing"/>
        <w:rPr>
          <w:rFonts w:cs="Arial"/>
          <w:color w:val="000000" w:themeColor="text1"/>
          <w:szCs w:val="24"/>
        </w:rPr>
      </w:pPr>
      <w:r>
        <w:rPr>
          <w:rFonts w:cs="Arial"/>
          <w:color w:val="000000" w:themeColor="text1"/>
          <w:szCs w:val="24"/>
        </w:rPr>
        <w:t>Consideration must be given to the</w:t>
      </w:r>
      <w:r w:rsidRPr="00DE1EDA">
        <w:rPr>
          <w:rFonts w:cs="Arial"/>
          <w:color w:val="000000" w:themeColor="text1"/>
          <w:szCs w:val="24"/>
        </w:rPr>
        <w:t xml:space="preserve"> </w:t>
      </w:r>
      <w:r w:rsidRPr="00DE1EDA">
        <w:rPr>
          <w:rFonts w:cs="Arial"/>
          <w:bCs/>
          <w:color w:val="000000" w:themeColor="text1"/>
          <w:szCs w:val="24"/>
        </w:rPr>
        <w:t>protected characteristics</w:t>
      </w:r>
      <w:r>
        <w:rPr>
          <w:rFonts w:cs="Arial"/>
          <w:bCs/>
          <w:color w:val="000000" w:themeColor="text1"/>
          <w:szCs w:val="24"/>
        </w:rPr>
        <w:t xml:space="preserve"> covered by</w:t>
      </w:r>
      <w:r w:rsidRPr="00DE1EDA">
        <w:rPr>
          <w:rFonts w:cs="Arial"/>
          <w:color w:val="000000" w:themeColor="text1"/>
          <w:szCs w:val="24"/>
        </w:rPr>
        <w:t xml:space="preserve"> the Equality Act</w:t>
      </w:r>
      <w:r>
        <w:rPr>
          <w:rFonts w:cs="Arial"/>
          <w:color w:val="000000" w:themeColor="text1"/>
          <w:szCs w:val="24"/>
        </w:rPr>
        <w:t>.</w:t>
      </w:r>
      <w:r w:rsidRPr="00DE1EDA">
        <w:rPr>
          <w:rFonts w:cs="Arial"/>
          <w:color w:val="000000" w:themeColor="text1"/>
          <w:szCs w:val="24"/>
        </w:rPr>
        <w:t xml:space="preserve"> </w:t>
      </w:r>
      <w:r>
        <w:rPr>
          <w:rFonts w:cs="Arial"/>
          <w:color w:val="000000" w:themeColor="text1"/>
          <w:szCs w:val="24"/>
        </w:rPr>
        <w:t xml:space="preserve">  </w:t>
      </w:r>
      <w:r w:rsidRPr="00DE1EDA">
        <w:rPr>
          <w:rFonts w:cs="Arial"/>
          <w:color w:val="000000" w:themeColor="text1"/>
          <w:szCs w:val="24"/>
        </w:rPr>
        <w:t>Assessments should ‘</w:t>
      </w:r>
      <w:r w:rsidRPr="00DE1EDA">
        <w:rPr>
          <w:rFonts w:cs="Arial"/>
          <w:color w:val="000000" w:themeColor="text1"/>
          <w:szCs w:val="24"/>
          <w:lang w:val="en"/>
        </w:rPr>
        <w:t>consider relevant evidence relating to persons with relevant protected characteristics in relation to such assessments of impact’.</w:t>
      </w:r>
    </w:p>
    <w:p w:rsidR="008B5704" w:rsidRPr="00DE1EDA" w:rsidRDefault="008B5704" w:rsidP="008B5704">
      <w:pPr>
        <w:pStyle w:val="NoSpacing"/>
        <w:rPr>
          <w:rFonts w:cs="Arial"/>
          <w:color w:val="000000" w:themeColor="text1"/>
          <w:szCs w:val="24"/>
        </w:rPr>
      </w:pPr>
    </w:p>
    <w:p w:rsidR="008B5704" w:rsidRPr="00DE1EDA" w:rsidRDefault="008B5704" w:rsidP="008B5704">
      <w:pPr>
        <w:pStyle w:val="NoSpacing"/>
        <w:rPr>
          <w:rFonts w:cs="Arial"/>
          <w:bCs/>
          <w:color w:val="000000" w:themeColor="text1"/>
          <w:szCs w:val="24"/>
        </w:rPr>
      </w:pPr>
      <w:r w:rsidRPr="00DE1EDA">
        <w:rPr>
          <w:rFonts w:cs="Arial"/>
          <w:color w:val="000000" w:themeColor="text1"/>
          <w:szCs w:val="24"/>
        </w:rPr>
        <w:t xml:space="preserve">The purpose of an Equality Impact Assessment (EQIA) </w:t>
      </w:r>
      <w:r w:rsidRPr="00DE1EDA">
        <w:rPr>
          <w:rFonts w:cs="Arial"/>
          <w:bCs/>
          <w:color w:val="000000" w:themeColor="text1"/>
          <w:szCs w:val="24"/>
        </w:rPr>
        <w:t>is to ensure that policies</w:t>
      </w:r>
      <w:r w:rsidR="004739D1">
        <w:rPr>
          <w:rFonts w:cs="Arial"/>
          <w:bCs/>
          <w:color w:val="000000" w:themeColor="text1"/>
          <w:szCs w:val="24"/>
        </w:rPr>
        <w:t>, functions, plans</w:t>
      </w:r>
      <w:r>
        <w:rPr>
          <w:rFonts w:cs="Arial"/>
          <w:bCs/>
          <w:color w:val="000000" w:themeColor="text1"/>
          <w:szCs w:val="24"/>
        </w:rPr>
        <w:t xml:space="preserve"> or decisions</w:t>
      </w:r>
      <w:r w:rsidR="004739D1">
        <w:rPr>
          <w:rFonts w:cs="Arial"/>
          <w:bCs/>
          <w:color w:val="000000" w:themeColor="text1"/>
          <w:szCs w:val="24"/>
        </w:rPr>
        <w:t xml:space="preserve"> (hereafter referred to as ‘policy’</w:t>
      </w:r>
      <w:r w:rsidRPr="00DE1EDA">
        <w:rPr>
          <w:rFonts w:cs="Arial"/>
          <w:bCs/>
          <w:color w:val="000000" w:themeColor="text1"/>
          <w:szCs w:val="24"/>
        </w:rPr>
        <w:t xml:space="preserve"> do not create unnecessary barriers </w:t>
      </w:r>
      <w:r>
        <w:rPr>
          <w:rFonts w:cs="Arial"/>
          <w:bCs/>
          <w:color w:val="000000" w:themeColor="text1"/>
          <w:szCs w:val="24"/>
        </w:rPr>
        <w:t>for people protected under the Act, and that negative impacts are eliminated or minimised and opportunities for positive impact are maximised.</w:t>
      </w:r>
    </w:p>
    <w:p w:rsidR="008B5704" w:rsidRDefault="008B5704" w:rsidP="008B5704">
      <w:pPr>
        <w:autoSpaceDE w:val="0"/>
        <w:autoSpaceDN w:val="0"/>
        <w:adjustRightInd w:val="0"/>
        <w:spacing w:after="0"/>
        <w:rPr>
          <w:lang w:val="en"/>
        </w:rPr>
      </w:pPr>
    </w:p>
    <w:p w:rsidR="008B5704" w:rsidRDefault="008B5704" w:rsidP="008B5704">
      <w:pPr>
        <w:autoSpaceDE w:val="0"/>
        <w:autoSpaceDN w:val="0"/>
        <w:adjustRightInd w:val="0"/>
        <w:spacing w:after="0"/>
        <w:rPr>
          <w:lang w:val="en"/>
        </w:rPr>
      </w:pPr>
      <w:r w:rsidRPr="00604330">
        <w:rPr>
          <w:lang w:val="en"/>
        </w:rPr>
        <w:t>Screening is a short exercise to determine if a policy is relevant to equality and</w:t>
      </w:r>
      <w:r>
        <w:rPr>
          <w:lang w:val="en"/>
        </w:rPr>
        <w:t xml:space="preserve"> whether a full equality impact </w:t>
      </w:r>
      <w:r w:rsidRPr="00604330">
        <w:rPr>
          <w:lang w:val="en"/>
        </w:rPr>
        <w:t>assessment (EQIA)</w:t>
      </w:r>
      <w:r>
        <w:rPr>
          <w:lang w:val="en"/>
        </w:rPr>
        <w:t xml:space="preserve"> should be carried out. </w:t>
      </w:r>
    </w:p>
    <w:p w:rsidR="008B5704" w:rsidRDefault="008B5704" w:rsidP="008B5704">
      <w:pPr>
        <w:autoSpaceDE w:val="0"/>
        <w:autoSpaceDN w:val="0"/>
        <w:adjustRightInd w:val="0"/>
        <w:spacing w:after="0"/>
        <w:rPr>
          <w:rFonts w:cs="Arial"/>
          <w:szCs w:val="24"/>
        </w:rPr>
      </w:pPr>
    </w:p>
    <w:p w:rsidR="00746CAE" w:rsidRDefault="00746CAE" w:rsidP="0042158A">
      <w:pPr>
        <w:spacing w:after="0"/>
        <w:rPr>
          <w:rFonts w:cs="Arial"/>
          <w:szCs w:val="24"/>
        </w:rPr>
      </w:pPr>
    </w:p>
    <w:tbl>
      <w:tblPr>
        <w:tblStyle w:val="TableGrid"/>
        <w:tblW w:w="9356" w:type="dxa"/>
        <w:tblInd w:w="-34" w:type="dxa"/>
        <w:tblLook w:val="04A0" w:firstRow="1" w:lastRow="0" w:firstColumn="1" w:lastColumn="0" w:noHBand="0" w:noVBand="1"/>
      </w:tblPr>
      <w:tblGrid>
        <w:gridCol w:w="3828"/>
        <w:gridCol w:w="567"/>
        <w:gridCol w:w="4961"/>
      </w:tblGrid>
      <w:tr w:rsidR="00746CAE" w:rsidTr="00646A49">
        <w:tc>
          <w:tcPr>
            <w:tcW w:w="3828" w:type="dxa"/>
          </w:tcPr>
          <w:p w:rsidR="00746CAE" w:rsidRDefault="00746CAE" w:rsidP="004739D1">
            <w:pPr>
              <w:rPr>
                <w:rFonts w:cs="Arial"/>
                <w:szCs w:val="24"/>
              </w:rPr>
            </w:pPr>
            <w:r>
              <w:rPr>
                <w:lang w:val="en"/>
              </w:rPr>
              <w:t>T</w:t>
            </w:r>
            <w:r w:rsidRPr="006578F5">
              <w:rPr>
                <w:lang w:val="en"/>
              </w:rPr>
              <w:t>itle/description of the policy</w:t>
            </w:r>
          </w:p>
        </w:tc>
        <w:tc>
          <w:tcPr>
            <w:tcW w:w="5528" w:type="dxa"/>
            <w:gridSpan w:val="2"/>
          </w:tcPr>
          <w:p w:rsidR="00746CAE" w:rsidRDefault="00EE3CD1" w:rsidP="0030667A">
            <w:pPr>
              <w:rPr>
                <w:rFonts w:cs="Arial"/>
                <w:szCs w:val="24"/>
              </w:rPr>
            </w:pPr>
            <w:r w:rsidRPr="00EE3CD1">
              <w:rPr>
                <w:rFonts w:cs="Arial"/>
                <w:b/>
                <w:szCs w:val="24"/>
              </w:rPr>
              <w:t>CS</w:t>
            </w:r>
            <w:r w:rsidR="0030667A">
              <w:rPr>
                <w:rFonts w:cs="Arial"/>
                <w:b/>
                <w:szCs w:val="24"/>
              </w:rPr>
              <w:t>17</w:t>
            </w:r>
            <w:r>
              <w:rPr>
                <w:rFonts w:cs="Arial"/>
                <w:b/>
                <w:bCs/>
              </w:rPr>
              <w:t xml:space="preserve"> Public Conveniences – </w:t>
            </w:r>
            <w:r w:rsidR="0030667A">
              <w:rPr>
                <w:rFonts w:cs="Arial"/>
                <w:b/>
                <w:bCs/>
              </w:rPr>
              <w:t>review</w:t>
            </w:r>
          </w:p>
        </w:tc>
      </w:tr>
      <w:tr w:rsidR="00746CAE" w:rsidTr="00646A49">
        <w:tc>
          <w:tcPr>
            <w:tcW w:w="3828" w:type="dxa"/>
          </w:tcPr>
          <w:p w:rsidR="00746CAE" w:rsidRPr="00746CAE" w:rsidRDefault="00746CAE" w:rsidP="00746CAE">
            <w:pPr>
              <w:pStyle w:val="NoSpacing"/>
              <w:spacing w:after="120"/>
              <w:rPr>
                <w:lang w:val="en"/>
              </w:rPr>
            </w:pPr>
            <w:r w:rsidRPr="006578F5">
              <w:rPr>
                <w:lang w:val="en"/>
              </w:rPr>
              <w:t>Name of the person</w:t>
            </w:r>
            <w:r w:rsidR="001C4C0F">
              <w:rPr>
                <w:lang w:val="en"/>
              </w:rPr>
              <w:t>(s)</w:t>
            </w:r>
            <w:r w:rsidRPr="006578F5">
              <w:rPr>
                <w:lang w:val="en"/>
              </w:rPr>
              <w:t xml:space="preserve"> carrying out the </w:t>
            </w:r>
            <w:r>
              <w:rPr>
                <w:lang w:val="en"/>
              </w:rPr>
              <w:t>assessment</w:t>
            </w:r>
            <w:r w:rsidRPr="006578F5">
              <w:rPr>
                <w:lang w:val="en"/>
              </w:rPr>
              <w:t>?</w:t>
            </w:r>
          </w:p>
        </w:tc>
        <w:tc>
          <w:tcPr>
            <w:tcW w:w="5528" w:type="dxa"/>
            <w:gridSpan w:val="2"/>
          </w:tcPr>
          <w:p w:rsidR="0030667A" w:rsidRDefault="0030667A" w:rsidP="0042158A">
            <w:pPr>
              <w:rPr>
                <w:rFonts w:cs="Arial"/>
                <w:szCs w:val="24"/>
              </w:rPr>
            </w:pPr>
            <w:r>
              <w:rPr>
                <w:rFonts w:cs="Arial"/>
                <w:szCs w:val="24"/>
              </w:rPr>
              <w:t>Andy Summers</w:t>
            </w:r>
            <w:r w:rsidR="00CB1D1B">
              <w:rPr>
                <w:rFonts w:cs="Arial"/>
                <w:szCs w:val="24"/>
              </w:rPr>
              <w:t>, Head of Environmental and Amenity Services</w:t>
            </w:r>
          </w:p>
          <w:p w:rsidR="00C14981" w:rsidRDefault="00C14981" w:rsidP="0042158A">
            <w:pPr>
              <w:rPr>
                <w:rFonts w:cs="Arial"/>
                <w:szCs w:val="24"/>
              </w:rPr>
            </w:pPr>
            <w:r>
              <w:rPr>
                <w:rFonts w:cs="Arial"/>
                <w:szCs w:val="24"/>
              </w:rPr>
              <w:t>Rosemary Mackinnon, Principal Policy Officer - Equality</w:t>
            </w:r>
          </w:p>
        </w:tc>
      </w:tr>
      <w:tr w:rsidR="00746CAE" w:rsidTr="00646A49">
        <w:tc>
          <w:tcPr>
            <w:tcW w:w="3828" w:type="dxa"/>
          </w:tcPr>
          <w:p w:rsidR="00746CAE" w:rsidRPr="00746CAE" w:rsidRDefault="00746CAE" w:rsidP="00746CAE">
            <w:pPr>
              <w:pStyle w:val="NoSpacing"/>
              <w:spacing w:after="120"/>
              <w:rPr>
                <w:lang w:val="en"/>
              </w:rPr>
            </w:pPr>
            <w:r>
              <w:rPr>
                <w:lang w:val="en"/>
              </w:rPr>
              <w:t xml:space="preserve">Service and </w:t>
            </w:r>
            <w:r w:rsidR="001C4C0F">
              <w:rPr>
                <w:lang w:val="en"/>
              </w:rPr>
              <w:t>Department</w:t>
            </w:r>
          </w:p>
        </w:tc>
        <w:tc>
          <w:tcPr>
            <w:tcW w:w="5528" w:type="dxa"/>
            <w:gridSpan w:val="2"/>
          </w:tcPr>
          <w:p w:rsidR="00746CAE" w:rsidRDefault="001C4C0F" w:rsidP="0042158A">
            <w:pPr>
              <w:rPr>
                <w:rFonts w:cs="Arial"/>
                <w:szCs w:val="24"/>
              </w:rPr>
            </w:pPr>
            <w:r>
              <w:rPr>
                <w:rFonts w:cs="Arial"/>
                <w:szCs w:val="24"/>
              </w:rPr>
              <w:t>Community Services</w:t>
            </w:r>
          </w:p>
        </w:tc>
      </w:tr>
      <w:tr w:rsidR="00746CAE" w:rsidTr="00646A49">
        <w:tc>
          <w:tcPr>
            <w:tcW w:w="3828" w:type="dxa"/>
          </w:tcPr>
          <w:p w:rsidR="00746CAE" w:rsidRPr="006578F5" w:rsidRDefault="001C4C0F" w:rsidP="00746CAE">
            <w:pPr>
              <w:pStyle w:val="NoSpacing"/>
              <w:spacing w:after="120"/>
              <w:rPr>
                <w:lang w:val="en"/>
              </w:rPr>
            </w:pPr>
            <w:r>
              <w:rPr>
                <w:lang w:val="en"/>
              </w:rPr>
              <w:t>Date of assessment</w:t>
            </w:r>
          </w:p>
        </w:tc>
        <w:tc>
          <w:tcPr>
            <w:tcW w:w="5528" w:type="dxa"/>
            <w:gridSpan w:val="2"/>
          </w:tcPr>
          <w:p w:rsidR="00746CAE" w:rsidRDefault="0030667A" w:rsidP="0042158A">
            <w:pPr>
              <w:rPr>
                <w:rFonts w:cs="Arial"/>
                <w:szCs w:val="24"/>
              </w:rPr>
            </w:pPr>
            <w:r>
              <w:rPr>
                <w:rFonts w:cs="Arial"/>
                <w:szCs w:val="24"/>
              </w:rPr>
              <w:t>31 January 2018</w:t>
            </w:r>
          </w:p>
        </w:tc>
      </w:tr>
      <w:tr w:rsidR="00746CAE" w:rsidTr="00646A49">
        <w:tc>
          <w:tcPr>
            <w:tcW w:w="3828" w:type="dxa"/>
          </w:tcPr>
          <w:p w:rsidR="00746CAE" w:rsidRPr="006578F5" w:rsidRDefault="00746CAE" w:rsidP="00746CAE">
            <w:pPr>
              <w:pStyle w:val="NoSpacing"/>
              <w:spacing w:after="120"/>
              <w:rPr>
                <w:lang w:val="en"/>
              </w:rPr>
            </w:pPr>
            <w:r w:rsidRPr="006578F5">
              <w:rPr>
                <w:lang w:val="en"/>
              </w:rPr>
              <w:t>What are the aims and objectives of the policy</w:t>
            </w:r>
            <w:r w:rsidR="00DF315E">
              <w:rPr>
                <w:lang w:val="en"/>
              </w:rPr>
              <w:t>/function/strategy</w:t>
            </w:r>
            <w:r>
              <w:rPr>
                <w:lang w:val="en"/>
              </w:rPr>
              <w:t>?</w:t>
            </w:r>
          </w:p>
        </w:tc>
        <w:tc>
          <w:tcPr>
            <w:tcW w:w="5528" w:type="dxa"/>
            <w:gridSpan w:val="2"/>
          </w:tcPr>
          <w:p w:rsidR="007E4B2B" w:rsidRPr="001C77E7" w:rsidRDefault="007E4B2B" w:rsidP="001C77E7">
            <w:pPr>
              <w:autoSpaceDE w:val="0"/>
              <w:autoSpaceDN w:val="0"/>
              <w:adjustRightInd w:val="0"/>
              <w:rPr>
                <w:rFonts w:cs="Arial"/>
                <w:szCs w:val="24"/>
              </w:rPr>
            </w:pPr>
            <w:r w:rsidRPr="001C77E7">
              <w:rPr>
                <w:rFonts w:cs="Arial"/>
                <w:szCs w:val="24"/>
                <w:lang w:eastAsia="en-US"/>
              </w:rPr>
              <w:t xml:space="preserve">To consider the </w:t>
            </w:r>
            <w:r w:rsidR="001C77E7">
              <w:rPr>
                <w:rFonts w:cs="Arial"/>
                <w:szCs w:val="24"/>
                <w:lang w:eastAsia="en-US"/>
              </w:rPr>
              <w:t xml:space="preserve">Council’s </w:t>
            </w:r>
            <w:r w:rsidR="0030667A">
              <w:rPr>
                <w:rFonts w:cs="Arial"/>
                <w:szCs w:val="24"/>
                <w:lang w:eastAsia="en-US"/>
              </w:rPr>
              <w:t>Budget proposals for 2018</w:t>
            </w:r>
            <w:r w:rsidRPr="001C77E7">
              <w:rPr>
                <w:rFonts w:cs="Arial"/>
                <w:szCs w:val="24"/>
                <w:lang w:eastAsia="en-US"/>
              </w:rPr>
              <w:t xml:space="preserve"> -19 for Community Services</w:t>
            </w:r>
            <w:r w:rsidR="001C77E7" w:rsidRPr="001C77E7">
              <w:rPr>
                <w:rFonts w:cs="Arial"/>
                <w:szCs w:val="24"/>
                <w:lang w:eastAsia="en-US"/>
              </w:rPr>
              <w:t xml:space="preserve"> </w:t>
            </w:r>
            <w:r w:rsidRPr="001C77E7">
              <w:rPr>
                <w:rFonts w:cs="Arial"/>
                <w:szCs w:val="24"/>
                <w:lang w:eastAsia="en-US"/>
              </w:rPr>
              <w:t xml:space="preserve">with respect </w:t>
            </w:r>
            <w:r w:rsidR="0030667A">
              <w:rPr>
                <w:rFonts w:cs="Arial"/>
                <w:szCs w:val="24"/>
                <w:lang w:eastAsia="en-US"/>
              </w:rPr>
              <w:t>of review and charging for</w:t>
            </w:r>
            <w:r w:rsidR="001C77E7" w:rsidRPr="001C77E7">
              <w:rPr>
                <w:rFonts w:cs="Arial"/>
                <w:szCs w:val="24"/>
                <w:lang w:eastAsia="en-US"/>
              </w:rPr>
              <w:t xml:space="preserve"> public conveniences</w:t>
            </w:r>
            <w:r w:rsidR="001C77E7">
              <w:rPr>
                <w:rFonts w:cs="Arial"/>
                <w:szCs w:val="24"/>
                <w:lang w:eastAsia="en-US"/>
              </w:rPr>
              <w:t>.</w:t>
            </w:r>
          </w:p>
          <w:p w:rsidR="00EE3CD1" w:rsidRDefault="00EE3CD1" w:rsidP="00EE3CD1">
            <w:pPr>
              <w:rPr>
                <w:rFonts w:cs="Arial"/>
              </w:rPr>
            </w:pPr>
            <w:r>
              <w:rPr>
                <w:rFonts w:cs="Arial"/>
              </w:rPr>
              <w:t>There are currently 9</w:t>
            </w:r>
            <w:r w:rsidR="0030667A">
              <w:rPr>
                <w:rFonts w:cs="Arial"/>
              </w:rPr>
              <w:t>6</w:t>
            </w:r>
            <w:r>
              <w:rPr>
                <w:rFonts w:cs="Arial"/>
              </w:rPr>
              <w:t xml:space="preserve"> public conveniences </w:t>
            </w:r>
            <w:r w:rsidR="0030667A">
              <w:rPr>
                <w:rFonts w:cs="Arial"/>
              </w:rPr>
              <w:t>across Highland and a further 28</w:t>
            </w:r>
            <w:r>
              <w:rPr>
                <w:rFonts w:cs="Arial"/>
              </w:rPr>
              <w:t xml:space="preserve"> Highland comfort schemes which are arrangements with local businesses to provide public convenience facilities.</w:t>
            </w:r>
          </w:p>
          <w:p w:rsidR="0026787D" w:rsidRDefault="00EE3CD1" w:rsidP="001818AA">
            <w:pPr>
              <w:rPr>
                <w:rFonts w:cs="Arial"/>
              </w:rPr>
            </w:pPr>
            <w:r>
              <w:rPr>
                <w:rFonts w:cs="Arial"/>
              </w:rPr>
              <w:t>It is proposed to</w:t>
            </w:r>
            <w:r w:rsidR="001818AA">
              <w:rPr>
                <w:rFonts w:cs="Arial"/>
              </w:rPr>
              <w:t>:</w:t>
            </w:r>
          </w:p>
          <w:p w:rsidR="001818AA" w:rsidRDefault="0030667A" w:rsidP="001818AA">
            <w:pPr>
              <w:pStyle w:val="ListParagraph"/>
              <w:numPr>
                <w:ilvl w:val="0"/>
                <w:numId w:val="13"/>
              </w:numPr>
              <w:rPr>
                <w:rFonts w:cs="Arial"/>
              </w:rPr>
            </w:pPr>
            <w:r>
              <w:rPr>
                <w:rFonts w:cs="Arial"/>
              </w:rPr>
              <w:t xml:space="preserve">Review current provision and implement </w:t>
            </w:r>
            <w:proofErr w:type="spellStart"/>
            <w:r>
              <w:rPr>
                <w:rFonts w:cs="Arial"/>
              </w:rPr>
              <w:t>programme</w:t>
            </w:r>
            <w:proofErr w:type="spellEnd"/>
            <w:r>
              <w:rPr>
                <w:rFonts w:cs="Arial"/>
              </w:rPr>
              <w:t xml:space="preserve"> of rationalization combined with new working practices</w:t>
            </w:r>
            <w:r w:rsidR="001818AA" w:rsidRPr="001818AA">
              <w:rPr>
                <w:rFonts w:cs="Arial"/>
              </w:rPr>
              <w:t>.</w:t>
            </w:r>
          </w:p>
          <w:p w:rsidR="0030667A" w:rsidRDefault="0030667A" w:rsidP="001818AA">
            <w:pPr>
              <w:pStyle w:val="ListParagraph"/>
              <w:numPr>
                <w:ilvl w:val="0"/>
                <w:numId w:val="13"/>
              </w:numPr>
              <w:rPr>
                <w:rFonts w:cs="Arial"/>
              </w:rPr>
            </w:pPr>
            <w:r>
              <w:rPr>
                <w:rFonts w:cs="Arial"/>
              </w:rPr>
              <w:t>Introduce a charge of 50p per visit at 10 high use facilities and increase charges at existing payable facilities</w:t>
            </w:r>
          </w:p>
          <w:p w:rsidR="0030667A" w:rsidRPr="001818AA" w:rsidRDefault="0030667A" w:rsidP="001818AA">
            <w:pPr>
              <w:pStyle w:val="ListParagraph"/>
              <w:numPr>
                <w:ilvl w:val="0"/>
                <w:numId w:val="13"/>
              </w:numPr>
              <w:rPr>
                <w:rFonts w:cs="Arial"/>
              </w:rPr>
            </w:pPr>
            <w:r>
              <w:rPr>
                <w:rFonts w:cs="Arial"/>
              </w:rPr>
              <w:t>Review payment structure for Highland comfort scheme</w:t>
            </w:r>
          </w:p>
          <w:p w:rsidR="008B5704" w:rsidRDefault="008B5704" w:rsidP="00EE3CD1">
            <w:pPr>
              <w:rPr>
                <w:rFonts w:cs="Arial"/>
                <w:szCs w:val="24"/>
              </w:rPr>
            </w:pPr>
          </w:p>
        </w:tc>
      </w:tr>
      <w:tr w:rsidR="004739D1" w:rsidTr="00646A49">
        <w:tc>
          <w:tcPr>
            <w:tcW w:w="3828" w:type="dxa"/>
          </w:tcPr>
          <w:p w:rsidR="004739D1" w:rsidRPr="006578F5" w:rsidRDefault="004739D1" w:rsidP="00746CAE">
            <w:pPr>
              <w:pStyle w:val="NoSpacing"/>
              <w:spacing w:after="120"/>
              <w:rPr>
                <w:lang w:val="en"/>
              </w:rPr>
            </w:pPr>
            <w:r>
              <w:rPr>
                <w:lang w:val="en"/>
              </w:rPr>
              <w:t>Who may be affected by the policy</w:t>
            </w:r>
          </w:p>
        </w:tc>
        <w:tc>
          <w:tcPr>
            <w:tcW w:w="5528" w:type="dxa"/>
            <w:gridSpan w:val="2"/>
          </w:tcPr>
          <w:p w:rsidR="003A6E16" w:rsidRDefault="00DA05A4" w:rsidP="00FC40CB">
            <w:pPr>
              <w:rPr>
                <w:rFonts w:cs="Arial"/>
                <w:szCs w:val="24"/>
              </w:rPr>
            </w:pPr>
            <w:r>
              <w:rPr>
                <w:rFonts w:cs="Arial"/>
                <w:szCs w:val="24"/>
              </w:rPr>
              <w:t>Any member of the public,</w:t>
            </w:r>
            <w:r w:rsidR="00A7290F">
              <w:rPr>
                <w:rFonts w:cs="Arial"/>
                <w:szCs w:val="24"/>
              </w:rPr>
              <w:t xml:space="preserve"> i</w:t>
            </w:r>
            <w:r w:rsidR="00C447E4">
              <w:rPr>
                <w:rFonts w:cs="Arial"/>
                <w:szCs w:val="24"/>
              </w:rPr>
              <w:t>ncluding residents and visitors and tourists</w:t>
            </w:r>
            <w:r>
              <w:rPr>
                <w:rFonts w:cs="Arial"/>
                <w:szCs w:val="24"/>
              </w:rPr>
              <w:t>.</w:t>
            </w:r>
            <w:r w:rsidR="0030667A">
              <w:rPr>
                <w:rFonts w:cs="Arial"/>
                <w:szCs w:val="24"/>
              </w:rPr>
              <w:t xml:space="preserve"> </w:t>
            </w:r>
            <w:r w:rsidR="00FC40CB">
              <w:rPr>
                <w:rFonts w:cs="Arial"/>
                <w:szCs w:val="24"/>
              </w:rPr>
              <w:t>21</w:t>
            </w:r>
            <w:r w:rsidR="0030667A">
              <w:rPr>
                <w:rFonts w:cs="Arial"/>
                <w:szCs w:val="24"/>
              </w:rPr>
              <w:t xml:space="preserve"> staff will also be affected</w:t>
            </w:r>
            <w:r w:rsidR="00FC40CB">
              <w:rPr>
                <w:rFonts w:cs="Arial"/>
                <w:szCs w:val="24"/>
              </w:rPr>
              <w:t xml:space="preserve"> by the proposal</w:t>
            </w:r>
            <w:r w:rsidR="0030667A">
              <w:rPr>
                <w:rFonts w:cs="Arial"/>
                <w:szCs w:val="24"/>
              </w:rPr>
              <w:t>.</w:t>
            </w:r>
          </w:p>
        </w:tc>
      </w:tr>
      <w:tr w:rsidR="004739D1" w:rsidTr="00646A49">
        <w:tc>
          <w:tcPr>
            <w:tcW w:w="3828" w:type="dxa"/>
          </w:tcPr>
          <w:p w:rsidR="004739D1" w:rsidRPr="006578F5" w:rsidRDefault="004739D1" w:rsidP="004739D1">
            <w:pPr>
              <w:pStyle w:val="NoSpacing"/>
              <w:spacing w:after="120"/>
              <w:rPr>
                <w:lang w:val="en"/>
              </w:rPr>
            </w:pPr>
            <w:r>
              <w:rPr>
                <w:lang w:val="en"/>
              </w:rPr>
              <w:t>How have stakeholders been involved in the development of the policy?</w:t>
            </w:r>
          </w:p>
        </w:tc>
        <w:tc>
          <w:tcPr>
            <w:tcW w:w="5528" w:type="dxa"/>
            <w:gridSpan w:val="2"/>
          </w:tcPr>
          <w:p w:rsidR="009729D0" w:rsidRDefault="009729D0" w:rsidP="00EE3CD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rPr>
                <w:rFonts w:cs="Arial"/>
              </w:rPr>
            </w:pPr>
          </w:p>
        </w:tc>
      </w:tr>
      <w:tr w:rsidR="00646A49" w:rsidTr="00646A49">
        <w:tc>
          <w:tcPr>
            <w:tcW w:w="9356" w:type="dxa"/>
            <w:gridSpan w:val="3"/>
          </w:tcPr>
          <w:p w:rsidR="00646A49" w:rsidRDefault="00646A49" w:rsidP="008B5704">
            <w:pPr>
              <w:rPr>
                <w:i/>
                <w:lang w:val="en"/>
              </w:rPr>
            </w:pPr>
            <w:r w:rsidRPr="00646A49">
              <w:rPr>
                <w:i/>
                <w:lang w:val="en"/>
              </w:rPr>
              <w:t>Which parts of the public sector duty is the policy relevant to?</w:t>
            </w:r>
          </w:p>
          <w:p w:rsidR="00646A49" w:rsidRPr="00646A49" w:rsidRDefault="00646A49" w:rsidP="008B5704">
            <w:pPr>
              <w:rPr>
                <w:rFonts w:cs="Arial"/>
                <w:i/>
                <w:szCs w:val="24"/>
              </w:rPr>
            </w:pPr>
          </w:p>
        </w:tc>
      </w:tr>
      <w:bookmarkEnd w:id="0"/>
      <w:tr w:rsidR="00DF315E" w:rsidTr="00646A49">
        <w:tc>
          <w:tcPr>
            <w:tcW w:w="3828" w:type="dxa"/>
          </w:tcPr>
          <w:p w:rsidR="00DF315E" w:rsidRPr="00436048" w:rsidRDefault="00DF315E" w:rsidP="00DF315E">
            <w:pPr>
              <w:pStyle w:val="ListParagraph"/>
              <w:numPr>
                <w:ilvl w:val="0"/>
                <w:numId w:val="10"/>
              </w:numPr>
              <w:rPr>
                <w:bCs/>
              </w:rPr>
            </w:pPr>
            <w:r w:rsidRPr="00436048">
              <w:rPr>
                <w:bCs/>
                <w:lang w:val="en-GB"/>
              </w:rPr>
              <w:t>Eliminate unlawful discrimination</w:t>
            </w:r>
          </w:p>
        </w:tc>
        <w:tc>
          <w:tcPr>
            <w:tcW w:w="567" w:type="dxa"/>
          </w:tcPr>
          <w:p w:rsidR="00DF315E" w:rsidRDefault="00DF315E" w:rsidP="003F07DA"/>
        </w:tc>
        <w:tc>
          <w:tcPr>
            <w:tcW w:w="4961" w:type="dxa"/>
          </w:tcPr>
          <w:p w:rsidR="00DF315E" w:rsidRDefault="00DF315E" w:rsidP="003F07DA"/>
        </w:tc>
      </w:tr>
      <w:tr w:rsidR="00DF315E" w:rsidTr="00646A49">
        <w:tc>
          <w:tcPr>
            <w:tcW w:w="3828" w:type="dxa"/>
          </w:tcPr>
          <w:p w:rsidR="00DF315E" w:rsidRPr="00436048" w:rsidRDefault="00DF315E" w:rsidP="00DF315E">
            <w:pPr>
              <w:pStyle w:val="ListParagraph"/>
              <w:numPr>
                <w:ilvl w:val="0"/>
                <w:numId w:val="10"/>
              </w:numPr>
              <w:rPr>
                <w:bCs/>
              </w:rPr>
            </w:pPr>
            <w:r w:rsidRPr="00436048">
              <w:rPr>
                <w:bCs/>
                <w:lang w:val="en-GB"/>
              </w:rPr>
              <w:t>Advance equality</w:t>
            </w:r>
          </w:p>
        </w:tc>
        <w:tc>
          <w:tcPr>
            <w:tcW w:w="567" w:type="dxa"/>
          </w:tcPr>
          <w:p w:rsidR="00DF315E" w:rsidRDefault="00DF315E" w:rsidP="003F07DA">
            <w:r>
              <w:sym w:font="Wingdings" w:char="F0FC"/>
            </w:r>
          </w:p>
        </w:tc>
        <w:tc>
          <w:tcPr>
            <w:tcW w:w="4961" w:type="dxa"/>
          </w:tcPr>
          <w:p w:rsidR="00DF315E" w:rsidRDefault="00646A49" w:rsidP="003F07DA">
            <w:r>
              <w:t>Opportunities to remove or minimise barriers or disadvantage, including steps to promote equality and meet different people’s needs.</w:t>
            </w:r>
          </w:p>
        </w:tc>
      </w:tr>
      <w:tr w:rsidR="00DF315E" w:rsidTr="00646A49">
        <w:tc>
          <w:tcPr>
            <w:tcW w:w="3828" w:type="dxa"/>
          </w:tcPr>
          <w:p w:rsidR="00DF315E" w:rsidRPr="003B144D" w:rsidRDefault="00DF315E" w:rsidP="00DF315E">
            <w:pPr>
              <w:pStyle w:val="ListParagraph"/>
              <w:numPr>
                <w:ilvl w:val="0"/>
                <w:numId w:val="10"/>
              </w:numPr>
            </w:pPr>
            <w:r w:rsidRPr="00436048">
              <w:rPr>
                <w:bCs/>
                <w:lang w:val="en-GB"/>
              </w:rPr>
              <w:t>Promote good relations</w:t>
            </w:r>
          </w:p>
        </w:tc>
        <w:tc>
          <w:tcPr>
            <w:tcW w:w="567" w:type="dxa"/>
          </w:tcPr>
          <w:p w:rsidR="00DF315E" w:rsidRDefault="00DF315E" w:rsidP="003F07DA"/>
        </w:tc>
        <w:tc>
          <w:tcPr>
            <w:tcW w:w="4961" w:type="dxa"/>
          </w:tcPr>
          <w:p w:rsidR="00DF315E" w:rsidRDefault="00DF315E" w:rsidP="003F07DA"/>
          <w:p w:rsidR="005B6980" w:rsidRDefault="005B6980" w:rsidP="003F07DA"/>
        </w:tc>
      </w:tr>
      <w:tr w:rsidR="005B6980" w:rsidTr="003F07DA">
        <w:tc>
          <w:tcPr>
            <w:tcW w:w="9356" w:type="dxa"/>
            <w:gridSpan w:val="3"/>
          </w:tcPr>
          <w:p w:rsidR="005B6980" w:rsidRDefault="005B6980" w:rsidP="003F07DA">
            <w:pPr>
              <w:rPr>
                <w:i/>
                <w:lang w:val="en"/>
              </w:rPr>
            </w:pPr>
            <w:r w:rsidRPr="005B6980">
              <w:rPr>
                <w:i/>
                <w:lang w:val="en"/>
              </w:rPr>
              <w:t>What existing sources of information have you gathered to help identify how people covered by the protected characteristics may be affected by this policy or service?</w:t>
            </w:r>
          </w:p>
          <w:p w:rsidR="005B6980" w:rsidRPr="005B6980" w:rsidRDefault="005B6980" w:rsidP="003F07DA">
            <w:pPr>
              <w:rPr>
                <w:i/>
              </w:rPr>
            </w:pPr>
          </w:p>
        </w:tc>
      </w:tr>
      <w:tr w:rsidR="005B6980" w:rsidTr="003F07DA">
        <w:tc>
          <w:tcPr>
            <w:tcW w:w="3828" w:type="dxa"/>
          </w:tcPr>
          <w:p w:rsidR="005B6980" w:rsidRDefault="005B6980" w:rsidP="005B6980">
            <w:pPr>
              <w:pStyle w:val="ListParagraph"/>
              <w:ind w:left="0"/>
              <w:rPr>
                <w:bCs/>
                <w:lang w:val="en-GB"/>
              </w:rPr>
            </w:pPr>
            <w:proofErr w:type="spellStart"/>
            <w:r>
              <w:rPr>
                <w:bCs/>
                <w:lang w:val="en-GB"/>
              </w:rPr>
              <w:t>Eg</w:t>
            </w:r>
            <w:proofErr w:type="spellEnd"/>
            <w:r>
              <w:rPr>
                <w:bCs/>
                <w:lang w:val="en-GB"/>
              </w:rPr>
              <w:t xml:space="preserve"> Consultations, national or local data and/or research, complaints or customer feedback.  Are there gaps in </w:t>
            </w:r>
            <w:r w:rsidR="0081773C">
              <w:rPr>
                <w:bCs/>
                <w:lang w:val="en-GB"/>
              </w:rPr>
              <w:t>available data?</w:t>
            </w:r>
          </w:p>
          <w:p w:rsidR="005B6980" w:rsidRPr="00436048" w:rsidRDefault="005B6980" w:rsidP="005B6980">
            <w:pPr>
              <w:pStyle w:val="ListParagraph"/>
              <w:ind w:left="360"/>
              <w:rPr>
                <w:bCs/>
                <w:lang w:val="en-GB"/>
              </w:rPr>
            </w:pPr>
          </w:p>
        </w:tc>
        <w:tc>
          <w:tcPr>
            <w:tcW w:w="5528" w:type="dxa"/>
            <w:gridSpan w:val="2"/>
          </w:tcPr>
          <w:p w:rsidR="0030667A" w:rsidRDefault="0030667A" w:rsidP="00CC751E">
            <w:pPr>
              <w:rPr>
                <w:rFonts w:cs="Arial"/>
                <w:szCs w:val="24"/>
              </w:rPr>
            </w:pPr>
            <w:r>
              <w:rPr>
                <w:rFonts w:cs="Arial"/>
                <w:szCs w:val="24"/>
              </w:rPr>
              <w:t xml:space="preserve">A survey of the Citizens Panel in 2016 highlighted that just </w:t>
            </w:r>
            <w:proofErr w:type="gramStart"/>
            <w:r>
              <w:rPr>
                <w:rFonts w:cs="Arial"/>
                <w:szCs w:val="24"/>
              </w:rPr>
              <w:t>under</w:t>
            </w:r>
            <w:proofErr w:type="gramEnd"/>
            <w:r>
              <w:rPr>
                <w:rFonts w:cs="Arial"/>
                <w:szCs w:val="24"/>
              </w:rPr>
              <w:t xml:space="preserve"> three quarters of respondents were prepared to pay to use a public toilet. 87% </w:t>
            </w:r>
            <w:r w:rsidR="004308FB">
              <w:rPr>
                <w:rFonts w:cs="Arial"/>
                <w:szCs w:val="24"/>
              </w:rPr>
              <w:t>were happy to pay 50 pence to use a facility.</w:t>
            </w:r>
          </w:p>
          <w:p w:rsidR="004308FB" w:rsidRDefault="004308FB" w:rsidP="00CC751E">
            <w:pPr>
              <w:rPr>
                <w:rFonts w:cs="Arial"/>
                <w:szCs w:val="24"/>
              </w:rPr>
            </w:pPr>
            <w:r>
              <w:rPr>
                <w:rFonts w:cs="Arial"/>
                <w:szCs w:val="24"/>
              </w:rPr>
              <w:t>29% of respondents indicated that closing some facilities could cause some or significant difficulty to them or their family. 56% reported that it could cause some or significant difficulty to the wider community.</w:t>
            </w:r>
          </w:p>
          <w:p w:rsidR="004308FB" w:rsidRDefault="004308FB" w:rsidP="00CC751E">
            <w:pPr>
              <w:rPr>
                <w:rFonts w:cs="Arial"/>
                <w:szCs w:val="24"/>
              </w:rPr>
            </w:pPr>
          </w:p>
          <w:p w:rsidR="00CC751E" w:rsidRDefault="00CC751E" w:rsidP="00CC751E">
            <w:pPr>
              <w:rPr>
                <w:rFonts w:cs="Arial"/>
                <w:szCs w:val="24"/>
              </w:rPr>
            </w:pPr>
            <w:r w:rsidRPr="00A038D9">
              <w:rPr>
                <w:rFonts w:cs="Arial"/>
                <w:szCs w:val="24"/>
              </w:rPr>
              <w:t xml:space="preserve">As part of the 2014 budget consultation exercise, the Council stated its intention to encourage community groups or businesses to take over the running of some of the public toilets in Highland.  The consultation asked about potential impact of closures of some of these facilities if communities were unable to take on their running.  </w:t>
            </w:r>
          </w:p>
          <w:p w:rsidR="00CC751E" w:rsidRDefault="00CC751E" w:rsidP="00CC751E">
            <w:pPr>
              <w:pStyle w:val="NoSpacing"/>
              <w:rPr>
                <w:rFonts w:cs="Arial"/>
                <w:szCs w:val="24"/>
              </w:rPr>
            </w:pPr>
          </w:p>
          <w:p w:rsidR="00CC751E" w:rsidRPr="00A038D9" w:rsidRDefault="00CC751E" w:rsidP="00CC751E">
            <w:pPr>
              <w:pStyle w:val="NoSpacing"/>
              <w:rPr>
                <w:rFonts w:cs="Arial"/>
                <w:szCs w:val="24"/>
              </w:rPr>
            </w:pPr>
            <w:r w:rsidRPr="00A038D9">
              <w:rPr>
                <w:rFonts w:cs="Arial"/>
                <w:szCs w:val="24"/>
              </w:rPr>
              <w:t xml:space="preserve">The consultation included a survey of the Council’s Citizen’s Panel, the Communities Panel, an online survey, </w:t>
            </w:r>
            <w:proofErr w:type="gramStart"/>
            <w:r w:rsidRPr="00A038D9">
              <w:rPr>
                <w:rFonts w:cs="Arial"/>
                <w:szCs w:val="24"/>
              </w:rPr>
              <w:t>engagement</w:t>
            </w:r>
            <w:proofErr w:type="gramEnd"/>
            <w:r w:rsidRPr="00A038D9">
              <w:rPr>
                <w:rFonts w:cs="Arial"/>
                <w:szCs w:val="24"/>
              </w:rPr>
              <w:t xml:space="preserve"> with Members and a number of focus groups with equality groups. </w:t>
            </w:r>
          </w:p>
          <w:p w:rsidR="00CC751E" w:rsidRDefault="00CC751E" w:rsidP="00CC751E">
            <w:pPr>
              <w:rPr>
                <w:rFonts w:cs="Arial"/>
                <w:szCs w:val="24"/>
              </w:rPr>
            </w:pPr>
          </w:p>
          <w:p w:rsidR="00CC751E" w:rsidRDefault="00CC751E" w:rsidP="00CC751E">
            <w:pPr>
              <w:rPr>
                <w:rFonts w:cs="Arial"/>
                <w:szCs w:val="24"/>
              </w:rPr>
            </w:pPr>
            <w:r w:rsidRPr="00A038D9">
              <w:rPr>
                <w:rFonts w:cs="Arial"/>
                <w:szCs w:val="24"/>
              </w:rPr>
              <w:t>Res</w:t>
            </w:r>
            <w:r>
              <w:rPr>
                <w:rFonts w:cs="Arial"/>
                <w:szCs w:val="24"/>
              </w:rPr>
              <w:t>ponses to the consultation noted</w:t>
            </w:r>
            <w:r w:rsidRPr="00A038D9">
              <w:rPr>
                <w:rFonts w:cs="Arial"/>
                <w:szCs w:val="24"/>
              </w:rPr>
              <w:t xml:space="preserve"> concerns that the impact of closures could have on the elderly and disabled as well as the potential impact on tourism.</w:t>
            </w:r>
          </w:p>
          <w:p w:rsidR="00495EC9" w:rsidRDefault="00495EC9" w:rsidP="00CC751E">
            <w:pPr>
              <w:rPr>
                <w:rFonts w:cs="Arial"/>
                <w:szCs w:val="24"/>
              </w:rPr>
            </w:pPr>
          </w:p>
          <w:p w:rsidR="00495EC9" w:rsidRDefault="00495EC9" w:rsidP="00CC751E">
            <w:pPr>
              <w:rPr>
                <w:rFonts w:cs="Arial"/>
                <w:szCs w:val="24"/>
              </w:rPr>
            </w:pPr>
            <w:r>
              <w:rPr>
                <w:rFonts w:cs="Arial"/>
                <w:szCs w:val="24"/>
              </w:rPr>
              <w:t>There is a lack of data to</w:t>
            </w:r>
            <w:r w:rsidRPr="00495EC9">
              <w:rPr>
                <w:rFonts w:cs="Arial"/>
                <w:szCs w:val="24"/>
              </w:rPr>
              <w:t xml:space="preserve"> identif</w:t>
            </w:r>
            <w:r>
              <w:rPr>
                <w:rFonts w:cs="Arial"/>
                <w:szCs w:val="24"/>
              </w:rPr>
              <w:t>y</w:t>
            </w:r>
            <w:r w:rsidRPr="00495EC9">
              <w:rPr>
                <w:rFonts w:cs="Arial"/>
                <w:szCs w:val="24"/>
              </w:rPr>
              <w:t xml:space="preserve"> the use of the facilities by equalities </w:t>
            </w:r>
            <w:r>
              <w:rPr>
                <w:rFonts w:cs="Arial"/>
                <w:szCs w:val="24"/>
              </w:rPr>
              <w:t>groups</w:t>
            </w:r>
            <w:r w:rsidRPr="00495EC9">
              <w:rPr>
                <w:rFonts w:cs="Arial"/>
                <w:szCs w:val="24"/>
              </w:rPr>
              <w:t xml:space="preserve">. </w:t>
            </w:r>
            <w:r w:rsidR="003E7D69">
              <w:rPr>
                <w:rFonts w:cs="Arial"/>
                <w:szCs w:val="24"/>
              </w:rPr>
              <w:t>However, certain of the</w:t>
            </w:r>
            <w:r w:rsidR="00AF2E32">
              <w:rPr>
                <w:rFonts w:cs="Arial"/>
                <w:szCs w:val="24"/>
              </w:rPr>
              <w:t>se</w:t>
            </w:r>
            <w:r w:rsidR="003E7D69">
              <w:rPr>
                <w:rFonts w:cs="Arial"/>
                <w:szCs w:val="24"/>
              </w:rPr>
              <w:t xml:space="preserve"> are considered more likely to use public conveniences.</w:t>
            </w:r>
          </w:p>
          <w:p w:rsidR="00495EC9" w:rsidRDefault="00495EC9" w:rsidP="00CC751E">
            <w:pPr>
              <w:rPr>
                <w:rFonts w:cs="Arial"/>
                <w:szCs w:val="24"/>
              </w:rPr>
            </w:pPr>
          </w:p>
          <w:p w:rsidR="00164636" w:rsidRDefault="00164636" w:rsidP="00CC751E">
            <w:pPr>
              <w:rPr>
                <w:rFonts w:cs="Arial"/>
                <w:szCs w:val="24"/>
              </w:rPr>
            </w:pPr>
            <w:r>
              <w:rPr>
                <w:rFonts w:cs="Arial"/>
                <w:szCs w:val="24"/>
              </w:rPr>
              <w:t>A link to i</w:t>
            </w:r>
            <w:r w:rsidR="00495EC9">
              <w:rPr>
                <w:rFonts w:cs="Arial"/>
                <w:szCs w:val="24"/>
              </w:rPr>
              <w:t xml:space="preserve">nformation on </w:t>
            </w:r>
            <w:r>
              <w:rPr>
                <w:rFonts w:cs="Arial"/>
                <w:szCs w:val="24"/>
              </w:rPr>
              <w:t xml:space="preserve">the </w:t>
            </w:r>
            <w:r w:rsidR="00495EC9">
              <w:rPr>
                <w:rFonts w:cs="Arial"/>
                <w:szCs w:val="24"/>
              </w:rPr>
              <w:t xml:space="preserve">availability </w:t>
            </w:r>
            <w:r>
              <w:rPr>
                <w:rFonts w:cs="Arial"/>
                <w:szCs w:val="24"/>
              </w:rPr>
              <w:t xml:space="preserve">of public toilets is on the Council </w:t>
            </w:r>
            <w:hyperlink r:id="rId8" w:history="1">
              <w:r w:rsidRPr="00164636">
                <w:rPr>
                  <w:rStyle w:val="Hyperlink"/>
                  <w:rFonts w:cs="Arial"/>
                  <w:szCs w:val="24"/>
                </w:rPr>
                <w:t>website</w:t>
              </w:r>
            </w:hyperlink>
          </w:p>
          <w:p w:rsidR="0081773C" w:rsidRPr="00EB691F" w:rsidRDefault="0081773C" w:rsidP="00164636">
            <w:pPr>
              <w:rPr>
                <w:rFonts w:cs="Arial"/>
                <w:szCs w:val="24"/>
                <w:lang w:eastAsia="en-US"/>
              </w:rPr>
            </w:pPr>
          </w:p>
        </w:tc>
      </w:tr>
    </w:tbl>
    <w:p w:rsidR="007D5762" w:rsidRDefault="007D5762" w:rsidP="007D5762">
      <w:pPr>
        <w:rPr>
          <w:b/>
          <w:bCs/>
        </w:rPr>
      </w:pPr>
    </w:p>
    <w:p w:rsidR="007D5762" w:rsidRPr="007D5762" w:rsidRDefault="007B5512" w:rsidP="007D5762">
      <w:pPr>
        <w:rPr>
          <w:i/>
        </w:rPr>
      </w:pPr>
      <w:r>
        <w:rPr>
          <w:b/>
          <w:bCs/>
          <w:i/>
        </w:rPr>
        <w:t xml:space="preserve">Screening: </w:t>
      </w:r>
      <w:r w:rsidR="007D5762" w:rsidRPr="007D5762">
        <w:rPr>
          <w:b/>
          <w:bCs/>
          <w:i/>
        </w:rPr>
        <w:t>Which of the protected characteristics is the policy relevant to?</w:t>
      </w:r>
      <w:r w:rsidR="007D5762" w:rsidRPr="007D5762">
        <w:rPr>
          <w:i/>
        </w:rPr>
        <w:t xml:space="preserve"> Tick and briefly describe any likely equalities impact (positive/negative/neutral). </w:t>
      </w:r>
    </w:p>
    <w:tbl>
      <w:tblPr>
        <w:tblStyle w:val="TableGrid"/>
        <w:tblW w:w="0" w:type="auto"/>
        <w:tblLook w:val="04A0" w:firstRow="1" w:lastRow="0" w:firstColumn="1" w:lastColumn="0" w:noHBand="0" w:noVBand="1"/>
      </w:tblPr>
      <w:tblGrid>
        <w:gridCol w:w="2652"/>
        <w:gridCol w:w="1060"/>
        <w:gridCol w:w="1134"/>
        <w:gridCol w:w="1063"/>
        <w:gridCol w:w="3333"/>
      </w:tblGrid>
      <w:tr w:rsidR="007D5762" w:rsidRPr="00F5769F" w:rsidTr="007D5762">
        <w:tc>
          <w:tcPr>
            <w:tcW w:w="2652" w:type="dxa"/>
          </w:tcPr>
          <w:p w:rsidR="007D5762" w:rsidRPr="00F5769F" w:rsidRDefault="007D5762" w:rsidP="003F07DA">
            <w:pPr>
              <w:rPr>
                <w:b/>
                <w:sz w:val="22"/>
              </w:rPr>
            </w:pPr>
            <w:r w:rsidRPr="00F5769F">
              <w:rPr>
                <w:b/>
                <w:sz w:val="22"/>
              </w:rPr>
              <w:t>Characteristic</w:t>
            </w:r>
          </w:p>
        </w:tc>
        <w:tc>
          <w:tcPr>
            <w:tcW w:w="1060" w:type="dxa"/>
          </w:tcPr>
          <w:p w:rsidR="007D5762" w:rsidRPr="00F5769F" w:rsidRDefault="007D5762" w:rsidP="003F07DA">
            <w:pPr>
              <w:jc w:val="center"/>
              <w:rPr>
                <w:b/>
                <w:sz w:val="22"/>
              </w:rPr>
            </w:pPr>
            <w:r w:rsidRPr="00F5769F">
              <w:rPr>
                <w:b/>
                <w:sz w:val="22"/>
              </w:rPr>
              <w:t>Positive</w:t>
            </w:r>
          </w:p>
        </w:tc>
        <w:tc>
          <w:tcPr>
            <w:tcW w:w="1134" w:type="dxa"/>
          </w:tcPr>
          <w:p w:rsidR="007D5762" w:rsidRPr="00F5769F" w:rsidRDefault="007D5762" w:rsidP="003F07DA">
            <w:pPr>
              <w:jc w:val="center"/>
              <w:rPr>
                <w:b/>
                <w:sz w:val="22"/>
              </w:rPr>
            </w:pPr>
            <w:r w:rsidRPr="00F5769F">
              <w:rPr>
                <w:b/>
                <w:sz w:val="22"/>
              </w:rPr>
              <w:t>Negative</w:t>
            </w:r>
          </w:p>
        </w:tc>
        <w:tc>
          <w:tcPr>
            <w:tcW w:w="1063" w:type="dxa"/>
          </w:tcPr>
          <w:p w:rsidR="007D5762" w:rsidRPr="00F5769F" w:rsidRDefault="007D5762" w:rsidP="003F07DA">
            <w:pPr>
              <w:jc w:val="center"/>
              <w:rPr>
                <w:b/>
                <w:sz w:val="22"/>
              </w:rPr>
            </w:pPr>
            <w:r w:rsidRPr="00F5769F">
              <w:rPr>
                <w:b/>
                <w:sz w:val="22"/>
              </w:rPr>
              <w:t>Neutral</w:t>
            </w:r>
          </w:p>
        </w:tc>
        <w:tc>
          <w:tcPr>
            <w:tcW w:w="3333" w:type="dxa"/>
          </w:tcPr>
          <w:p w:rsidR="007D5762" w:rsidRPr="00F5769F" w:rsidRDefault="007D5762" w:rsidP="003F07DA">
            <w:pPr>
              <w:jc w:val="center"/>
              <w:rPr>
                <w:b/>
                <w:sz w:val="22"/>
              </w:rPr>
            </w:pPr>
            <w:r w:rsidRPr="00F5769F">
              <w:rPr>
                <w:b/>
                <w:sz w:val="22"/>
              </w:rPr>
              <w:t>comments</w:t>
            </w:r>
          </w:p>
        </w:tc>
      </w:tr>
      <w:tr w:rsidR="007D5762" w:rsidTr="007D5762">
        <w:tc>
          <w:tcPr>
            <w:tcW w:w="2652" w:type="dxa"/>
          </w:tcPr>
          <w:p w:rsidR="007D5762" w:rsidRDefault="007D5762" w:rsidP="003F07DA">
            <w:r>
              <w:t>Gender</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7D5762" w:rsidP="003F07DA">
            <w:pPr>
              <w:pStyle w:val="ListParagraph"/>
              <w:ind w:left="0"/>
              <w:rPr>
                <w:bCs/>
                <w:lang w:val="en-GB"/>
              </w:rPr>
            </w:pPr>
          </w:p>
        </w:tc>
        <w:tc>
          <w:tcPr>
            <w:tcW w:w="3333" w:type="dxa"/>
          </w:tcPr>
          <w:p w:rsidR="007D5762" w:rsidRDefault="00CC751E" w:rsidP="003F07DA">
            <w:r>
              <w:t xml:space="preserve">There is no evidence of different impact (aside from </w:t>
            </w:r>
            <w:r w:rsidR="00495EC9">
              <w:t>pregnancy related)</w:t>
            </w:r>
          </w:p>
        </w:tc>
      </w:tr>
      <w:tr w:rsidR="007D5762" w:rsidTr="007D5762">
        <w:tc>
          <w:tcPr>
            <w:tcW w:w="2652" w:type="dxa"/>
          </w:tcPr>
          <w:p w:rsidR="007D5762" w:rsidRDefault="007D5762" w:rsidP="003F07DA">
            <w:r>
              <w:t>Age</w:t>
            </w:r>
          </w:p>
          <w:p w:rsidR="007D5762" w:rsidRDefault="007D5762" w:rsidP="003F07DA"/>
        </w:tc>
        <w:tc>
          <w:tcPr>
            <w:tcW w:w="1060" w:type="dxa"/>
          </w:tcPr>
          <w:p w:rsidR="007D5762" w:rsidRDefault="007D5762" w:rsidP="003F07DA"/>
        </w:tc>
        <w:tc>
          <w:tcPr>
            <w:tcW w:w="1134" w:type="dxa"/>
          </w:tcPr>
          <w:p w:rsidR="007D5762" w:rsidRDefault="00CC751E" w:rsidP="003F07DA">
            <w:r>
              <w:sym w:font="Wingdings" w:char="F0FC"/>
            </w:r>
          </w:p>
        </w:tc>
        <w:tc>
          <w:tcPr>
            <w:tcW w:w="1063" w:type="dxa"/>
          </w:tcPr>
          <w:p w:rsidR="007D5762" w:rsidRDefault="007D5762" w:rsidP="003F07DA">
            <w:pPr>
              <w:pStyle w:val="ListParagraph"/>
              <w:ind w:left="0"/>
              <w:rPr>
                <w:bCs/>
                <w:lang w:val="en-GB"/>
              </w:rPr>
            </w:pPr>
          </w:p>
        </w:tc>
        <w:tc>
          <w:tcPr>
            <w:tcW w:w="3333" w:type="dxa"/>
          </w:tcPr>
          <w:p w:rsidR="00F6790F" w:rsidRDefault="00CC751E" w:rsidP="003F07DA">
            <w:r>
              <w:t>Older people –</w:t>
            </w:r>
            <w:r w:rsidR="002E59C6">
              <w:t xml:space="preserve"> </w:t>
            </w:r>
            <w:r w:rsidR="00164636">
              <w:t>a higher proportion of older people may be affected</w:t>
            </w:r>
          </w:p>
          <w:p w:rsidR="00CC751E" w:rsidRDefault="00CC751E" w:rsidP="003F07DA">
            <w:r>
              <w:t>Young people – families with young children</w:t>
            </w:r>
          </w:p>
        </w:tc>
      </w:tr>
      <w:tr w:rsidR="007D5762" w:rsidTr="007D5762">
        <w:tc>
          <w:tcPr>
            <w:tcW w:w="2652" w:type="dxa"/>
          </w:tcPr>
          <w:p w:rsidR="007D5762" w:rsidRDefault="007D5762" w:rsidP="003F07DA">
            <w:r>
              <w:t>Disability</w:t>
            </w:r>
          </w:p>
          <w:p w:rsidR="007D5762" w:rsidRDefault="007D5762" w:rsidP="003F07DA"/>
        </w:tc>
        <w:tc>
          <w:tcPr>
            <w:tcW w:w="1060" w:type="dxa"/>
          </w:tcPr>
          <w:p w:rsidR="007D5762" w:rsidRDefault="007D5762" w:rsidP="003F07DA"/>
        </w:tc>
        <w:tc>
          <w:tcPr>
            <w:tcW w:w="1134" w:type="dxa"/>
          </w:tcPr>
          <w:p w:rsidR="007D5762" w:rsidRDefault="00CC751E" w:rsidP="003F07DA">
            <w:r>
              <w:sym w:font="Wingdings" w:char="F0FC"/>
            </w:r>
          </w:p>
        </w:tc>
        <w:tc>
          <w:tcPr>
            <w:tcW w:w="1063" w:type="dxa"/>
          </w:tcPr>
          <w:p w:rsidR="007D5762" w:rsidRDefault="007D5762" w:rsidP="003F07DA"/>
        </w:tc>
        <w:tc>
          <w:tcPr>
            <w:tcW w:w="3333" w:type="dxa"/>
          </w:tcPr>
          <w:p w:rsidR="007B5512" w:rsidRDefault="00CC751E" w:rsidP="007B5512">
            <w:r>
              <w:t>People with particular health needs/disabiliti</w:t>
            </w:r>
            <w:r w:rsidR="002E59C6">
              <w:t>es may be disadvantaged</w:t>
            </w:r>
          </w:p>
        </w:tc>
      </w:tr>
      <w:tr w:rsidR="007D5762" w:rsidTr="007D5762">
        <w:tc>
          <w:tcPr>
            <w:tcW w:w="2652" w:type="dxa"/>
          </w:tcPr>
          <w:p w:rsidR="007D5762" w:rsidRDefault="007D5762" w:rsidP="003F07DA">
            <w:r>
              <w:t>Religion or Belief</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CC751E" w:rsidP="003F07DA">
            <w:r>
              <w:sym w:font="Wingdings" w:char="F0FC"/>
            </w:r>
          </w:p>
        </w:tc>
        <w:tc>
          <w:tcPr>
            <w:tcW w:w="3333" w:type="dxa"/>
          </w:tcPr>
          <w:p w:rsidR="007D5762" w:rsidRDefault="00CC751E" w:rsidP="003F07DA">
            <w:r>
              <w:t>There is no evidence of different impact</w:t>
            </w:r>
          </w:p>
        </w:tc>
      </w:tr>
      <w:tr w:rsidR="007D5762" w:rsidTr="007D5762">
        <w:tc>
          <w:tcPr>
            <w:tcW w:w="2652" w:type="dxa"/>
          </w:tcPr>
          <w:p w:rsidR="007D5762" w:rsidRDefault="007D5762" w:rsidP="003F07DA">
            <w:r>
              <w:t>Race</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CC751E" w:rsidP="003F07DA">
            <w:r>
              <w:sym w:font="Wingdings" w:char="F0FC"/>
            </w:r>
          </w:p>
        </w:tc>
        <w:tc>
          <w:tcPr>
            <w:tcW w:w="3333" w:type="dxa"/>
          </w:tcPr>
          <w:p w:rsidR="007D5762" w:rsidRDefault="00CC751E" w:rsidP="003F07DA">
            <w:r>
              <w:t>There is no evidence of different impact</w:t>
            </w:r>
          </w:p>
        </w:tc>
      </w:tr>
      <w:tr w:rsidR="007D5762" w:rsidTr="007D5762">
        <w:tc>
          <w:tcPr>
            <w:tcW w:w="2652" w:type="dxa"/>
          </w:tcPr>
          <w:p w:rsidR="007D5762" w:rsidRDefault="007D5762" w:rsidP="003F07DA">
            <w:r>
              <w:t>Sexual Orientation</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CC751E" w:rsidP="003F07DA">
            <w:r>
              <w:sym w:font="Wingdings" w:char="F0FC"/>
            </w:r>
          </w:p>
        </w:tc>
        <w:tc>
          <w:tcPr>
            <w:tcW w:w="3333" w:type="dxa"/>
          </w:tcPr>
          <w:p w:rsidR="007D5762" w:rsidRDefault="00CC751E" w:rsidP="003F07DA">
            <w:r>
              <w:t>There is no evidence of different impact</w:t>
            </w:r>
          </w:p>
        </w:tc>
      </w:tr>
      <w:tr w:rsidR="007D5762" w:rsidTr="007D5762">
        <w:tc>
          <w:tcPr>
            <w:tcW w:w="2652" w:type="dxa"/>
          </w:tcPr>
          <w:p w:rsidR="007D5762" w:rsidRDefault="007D5762" w:rsidP="003F07DA">
            <w:r>
              <w:t>Gender reassignment</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CC751E" w:rsidP="003F07DA">
            <w:r>
              <w:sym w:font="Wingdings" w:char="F0FC"/>
            </w:r>
          </w:p>
        </w:tc>
        <w:tc>
          <w:tcPr>
            <w:tcW w:w="3333" w:type="dxa"/>
          </w:tcPr>
          <w:p w:rsidR="007D5762" w:rsidRDefault="00CC751E" w:rsidP="003F07DA">
            <w:r>
              <w:t>There is no evidence of different impact</w:t>
            </w:r>
          </w:p>
        </w:tc>
      </w:tr>
      <w:tr w:rsidR="007D5762" w:rsidTr="007D5762">
        <w:tc>
          <w:tcPr>
            <w:tcW w:w="2652" w:type="dxa"/>
          </w:tcPr>
          <w:p w:rsidR="007D5762" w:rsidRDefault="007D5762" w:rsidP="003F07DA">
            <w:r>
              <w:t>Pregnancy/maternity</w:t>
            </w:r>
          </w:p>
          <w:p w:rsidR="007D5762" w:rsidRDefault="007D5762" w:rsidP="003F07DA"/>
        </w:tc>
        <w:tc>
          <w:tcPr>
            <w:tcW w:w="1060" w:type="dxa"/>
          </w:tcPr>
          <w:p w:rsidR="007D5762" w:rsidRDefault="007D5762" w:rsidP="003F07DA"/>
        </w:tc>
        <w:tc>
          <w:tcPr>
            <w:tcW w:w="1134" w:type="dxa"/>
          </w:tcPr>
          <w:p w:rsidR="007D5762" w:rsidRDefault="00495EC9" w:rsidP="003F07DA">
            <w:r>
              <w:sym w:font="Wingdings" w:char="F0FC"/>
            </w:r>
          </w:p>
        </w:tc>
        <w:tc>
          <w:tcPr>
            <w:tcW w:w="1063" w:type="dxa"/>
          </w:tcPr>
          <w:p w:rsidR="007D5762" w:rsidRDefault="007D5762" w:rsidP="003F07DA"/>
        </w:tc>
        <w:tc>
          <w:tcPr>
            <w:tcW w:w="3333" w:type="dxa"/>
          </w:tcPr>
          <w:p w:rsidR="007D5762" w:rsidRDefault="00495EC9" w:rsidP="003F07DA">
            <w:r>
              <w:t>Pregnant women and families need baby changing facilities</w:t>
            </w:r>
          </w:p>
        </w:tc>
      </w:tr>
      <w:tr w:rsidR="007D5762" w:rsidTr="007D5762">
        <w:tc>
          <w:tcPr>
            <w:tcW w:w="2652" w:type="dxa"/>
          </w:tcPr>
          <w:p w:rsidR="007D5762" w:rsidRDefault="007D5762" w:rsidP="003F07DA">
            <w:r>
              <w:t>Marriage and Civil Partnership*</w:t>
            </w:r>
          </w:p>
        </w:tc>
        <w:tc>
          <w:tcPr>
            <w:tcW w:w="1060" w:type="dxa"/>
          </w:tcPr>
          <w:p w:rsidR="007D5762" w:rsidRDefault="007D5762" w:rsidP="003F07DA"/>
        </w:tc>
        <w:tc>
          <w:tcPr>
            <w:tcW w:w="1134" w:type="dxa"/>
          </w:tcPr>
          <w:p w:rsidR="007D5762" w:rsidRDefault="007D5762" w:rsidP="003F07DA"/>
        </w:tc>
        <w:tc>
          <w:tcPr>
            <w:tcW w:w="1063" w:type="dxa"/>
          </w:tcPr>
          <w:p w:rsidR="007D5762" w:rsidRDefault="00CC751E" w:rsidP="003F07DA">
            <w:r>
              <w:sym w:font="Wingdings" w:char="F0FC"/>
            </w:r>
          </w:p>
        </w:tc>
        <w:tc>
          <w:tcPr>
            <w:tcW w:w="3333" w:type="dxa"/>
          </w:tcPr>
          <w:p w:rsidR="007D5762" w:rsidRDefault="00CC751E" w:rsidP="003F07DA">
            <w:r>
              <w:t>There is no evidence of different impact</w:t>
            </w:r>
          </w:p>
        </w:tc>
      </w:tr>
    </w:tbl>
    <w:p w:rsidR="00185361" w:rsidRDefault="00185361" w:rsidP="00185361">
      <w:pPr>
        <w:pStyle w:val="NoSpacing"/>
        <w:spacing w:after="120"/>
        <w:ind w:left="714"/>
        <w:rPr>
          <w:lang w:val="en"/>
        </w:rPr>
      </w:pPr>
    </w:p>
    <w:p w:rsidR="00185361" w:rsidRDefault="00185361" w:rsidP="00185361">
      <w:pPr>
        <w:pStyle w:val="NoSpacing"/>
        <w:spacing w:after="120"/>
        <w:ind w:left="714"/>
        <w:rPr>
          <w:lang w:val="en"/>
        </w:rPr>
      </w:pPr>
    </w:p>
    <w:tbl>
      <w:tblPr>
        <w:tblStyle w:val="TableGrid"/>
        <w:tblW w:w="9356" w:type="dxa"/>
        <w:tblInd w:w="-34" w:type="dxa"/>
        <w:tblLook w:val="04A0" w:firstRow="1" w:lastRow="0" w:firstColumn="1" w:lastColumn="0" w:noHBand="0" w:noVBand="1"/>
      </w:tblPr>
      <w:tblGrid>
        <w:gridCol w:w="3828"/>
        <w:gridCol w:w="5528"/>
      </w:tblGrid>
      <w:tr w:rsidR="00185361" w:rsidTr="00C35A93">
        <w:trPr>
          <w:trHeight w:val="2258"/>
        </w:trPr>
        <w:tc>
          <w:tcPr>
            <w:tcW w:w="3828" w:type="dxa"/>
          </w:tcPr>
          <w:p w:rsidR="00185361" w:rsidRDefault="00185361" w:rsidP="00185361">
            <w:pPr>
              <w:pStyle w:val="NoSpacing"/>
              <w:spacing w:after="120"/>
              <w:rPr>
                <w:i/>
                <w:lang w:val="en"/>
              </w:rPr>
            </w:pPr>
            <w:r w:rsidRPr="00185361">
              <w:rPr>
                <w:i/>
                <w:lang w:val="en"/>
              </w:rPr>
              <w:t xml:space="preserve">Is there any evidence of, or </w:t>
            </w:r>
            <w:r w:rsidR="001532A2">
              <w:rPr>
                <w:i/>
                <w:lang w:val="en"/>
              </w:rPr>
              <w:t xml:space="preserve">potential for, negative impact? Does the policy contribute </w:t>
            </w:r>
            <w:r w:rsidRPr="00185361">
              <w:rPr>
                <w:i/>
                <w:lang w:val="en"/>
              </w:rPr>
              <w:t>positively to the promotion of equality on any particular group?</w:t>
            </w:r>
          </w:p>
          <w:p w:rsidR="00185361" w:rsidRPr="006578F5" w:rsidRDefault="00185361" w:rsidP="003F07DA">
            <w:pPr>
              <w:pStyle w:val="NoSpacing"/>
              <w:spacing w:after="120"/>
              <w:rPr>
                <w:lang w:val="en"/>
              </w:rPr>
            </w:pPr>
          </w:p>
        </w:tc>
        <w:tc>
          <w:tcPr>
            <w:tcW w:w="5528" w:type="dxa"/>
          </w:tcPr>
          <w:p w:rsidR="002E59C6" w:rsidRPr="00C35A93" w:rsidRDefault="002E59C6" w:rsidP="002E59C6">
            <w:pPr>
              <w:autoSpaceDE w:val="0"/>
              <w:autoSpaceDN w:val="0"/>
              <w:adjustRightInd w:val="0"/>
              <w:rPr>
                <w:rFonts w:cs="Arial"/>
                <w:szCs w:val="24"/>
              </w:rPr>
            </w:pPr>
            <w:r w:rsidRPr="00C35A93">
              <w:rPr>
                <w:rFonts w:cs="Arial"/>
                <w:szCs w:val="24"/>
                <w:lang w:eastAsia="en-US"/>
              </w:rPr>
              <w:t>The closure of the public toilets could impact more on particular groups, including older people, families with small children, disabled people and pregnant women</w:t>
            </w:r>
            <w:r w:rsidR="00C35A93" w:rsidRPr="00C35A93">
              <w:rPr>
                <w:rFonts w:cs="Arial"/>
                <w:szCs w:val="24"/>
                <w:lang w:eastAsia="en-US"/>
              </w:rPr>
              <w:t>:</w:t>
            </w:r>
          </w:p>
          <w:p w:rsidR="002E59C6" w:rsidRPr="00C35A93" w:rsidRDefault="002E59C6" w:rsidP="002E59C6">
            <w:pPr>
              <w:autoSpaceDE w:val="0"/>
              <w:autoSpaceDN w:val="0"/>
              <w:adjustRightInd w:val="0"/>
              <w:rPr>
                <w:rFonts w:cs="Arial"/>
                <w:szCs w:val="24"/>
              </w:rPr>
            </w:pPr>
          </w:p>
          <w:p w:rsidR="002E59C6" w:rsidRPr="00C35A93" w:rsidRDefault="002E59C6" w:rsidP="002E59C6">
            <w:pPr>
              <w:autoSpaceDE w:val="0"/>
              <w:autoSpaceDN w:val="0"/>
              <w:adjustRightInd w:val="0"/>
              <w:rPr>
                <w:rFonts w:cs="Arial"/>
                <w:szCs w:val="24"/>
              </w:rPr>
            </w:pPr>
            <w:r w:rsidRPr="00C35A93">
              <w:rPr>
                <w:rFonts w:cs="Arial"/>
                <w:szCs w:val="24"/>
              </w:rPr>
              <w:t>Age – the incidence of disability and health related issues increase with age.  Older people may be disproportionately affected by conditions that require them to use toilet facilities more frequently.</w:t>
            </w:r>
          </w:p>
          <w:p w:rsidR="002E59C6" w:rsidRPr="00C35A93" w:rsidRDefault="002E59C6" w:rsidP="00164636">
            <w:pPr>
              <w:autoSpaceDE w:val="0"/>
              <w:autoSpaceDN w:val="0"/>
              <w:adjustRightInd w:val="0"/>
              <w:rPr>
                <w:rFonts w:cs="Arial"/>
                <w:szCs w:val="24"/>
                <w:lang w:eastAsia="en-US"/>
              </w:rPr>
            </w:pPr>
          </w:p>
          <w:p w:rsidR="002E59C6" w:rsidRPr="00C35A93" w:rsidRDefault="002E59C6" w:rsidP="00164636">
            <w:pPr>
              <w:autoSpaceDE w:val="0"/>
              <w:autoSpaceDN w:val="0"/>
              <w:adjustRightInd w:val="0"/>
              <w:rPr>
                <w:rFonts w:cs="Arial"/>
                <w:szCs w:val="24"/>
                <w:lang w:eastAsia="en-US"/>
              </w:rPr>
            </w:pPr>
            <w:r w:rsidRPr="00C35A93">
              <w:rPr>
                <w:rFonts w:cs="Arial"/>
                <w:szCs w:val="24"/>
                <w:lang w:eastAsia="en-US"/>
              </w:rPr>
              <w:t xml:space="preserve">Younger people – families with </w:t>
            </w:r>
            <w:r w:rsidR="00C35A93" w:rsidRPr="00C35A93">
              <w:rPr>
                <w:rFonts w:cs="Arial"/>
                <w:szCs w:val="24"/>
                <w:lang w:eastAsia="en-US"/>
              </w:rPr>
              <w:t xml:space="preserve">young children may be affected </w:t>
            </w:r>
            <w:r w:rsidRPr="00C35A93">
              <w:rPr>
                <w:rFonts w:cs="Arial"/>
                <w:szCs w:val="24"/>
                <w:lang w:eastAsia="en-US"/>
              </w:rPr>
              <w:t xml:space="preserve">by a reduction in facilities </w:t>
            </w:r>
            <w:proofErr w:type="gramStart"/>
            <w:r w:rsidRPr="00C35A93">
              <w:rPr>
                <w:rFonts w:cs="Arial"/>
                <w:szCs w:val="24"/>
                <w:lang w:eastAsia="en-US"/>
              </w:rPr>
              <w:t>generally,</w:t>
            </w:r>
            <w:proofErr w:type="gramEnd"/>
            <w:r w:rsidRPr="00C35A93">
              <w:rPr>
                <w:rFonts w:cs="Arial"/>
                <w:szCs w:val="24"/>
                <w:lang w:eastAsia="en-US"/>
              </w:rPr>
              <w:t xml:space="preserve"> and in particular if there is a loss of facilities with baby changing areas.</w:t>
            </w:r>
          </w:p>
          <w:p w:rsidR="002E59C6" w:rsidRPr="00C35A93" w:rsidRDefault="002E59C6" w:rsidP="00164636">
            <w:pPr>
              <w:autoSpaceDE w:val="0"/>
              <w:autoSpaceDN w:val="0"/>
              <w:adjustRightInd w:val="0"/>
              <w:rPr>
                <w:rFonts w:cs="Arial"/>
                <w:szCs w:val="24"/>
                <w:lang w:eastAsia="en-US"/>
              </w:rPr>
            </w:pPr>
          </w:p>
          <w:p w:rsidR="00C81D44" w:rsidRDefault="00C35A93" w:rsidP="00164636">
            <w:pPr>
              <w:autoSpaceDE w:val="0"/>
              <w:autoSpaceDN w:val="0"/>
              <w:adjustRightInd w:val="0"/>
              <w:rPr>
                <w:szCs w:val="24"/>
              </w:rPr>
            </w:pPr>
            <w:r w:rsidRPr="00C35A93">
              <w:rPr>
                <w:rFonts w:cs="Arial"/>
                <w:szCs w:val="24"/>
                <w:lang w:eastAsia="en-US"/>
              </w:rPr>
              <w:t xml:space="preserve">Disability - </w:t>
            </w:r>
            <w:r w:rsidRPr="00C35A93">
              <w:rPr>
                <w:rFonts w:cs="Arial"/>
                <w:szCs w:val="24"/>
              </w:rPr>
              <w:t>Availability of public toilets can impact on disabled people taking part in everyday activities, in particular people with specific conditions which require frequent use of facilities (</w:t>
            </w:r>
            <w:proofErr w:type="spellStart"/>
            <w:r w:rsidRPr="00C35A93">
              <w:rPr>
                <w:rFonts w:cs="Arial"/>
                <w:szCs w:val="24"/>
              </w:rPr>
              <w:t>eg</w:t>
            </w:r>
            <w:proofErr w:type="spellEnd"/>
            <w:r w:rsidRPr="00C35A93">
              <w:rPr>
                <w:rFonts w:cs="Arial"/>
                <w:szCs w:val="24"/>
              </w:rPr>
              <w:t xml:space="preserve"> Colitis, Crohn’s Disease, IBD, </w:t>
            </w:r>
            <w:proofErr w:type="gramStart"/>
            <w:r w:rsidRPr="00C35A93">
              <w:rPr>
                <w:rFonts w:cs="Arial"/>
                <w:szCs w:val="24"/>
              </w:rPr>
              <w:t>Prostate</w:t>
            </w:r>
            <w:proofErr w:type="gramEnd"/>
            <w:r w:rsidRPr="00C35A93">
              <w:rPr>
                <w:rFonts w:cs="Arial"/>
                <w:szCs w:val="24"/>
              </w:rPr>
              <w:t xml:space="preserve"> Cancer). </w:t>
            </w:r>
            <w:r w:rsidRPr="00C35A93">
              <w:rPr>
                <w:szCs w:val="24"/>
              </w:rPr>
              <w:t>People who require accessible toilets could also be disproportionately impacted by the closure of such facilities</w:t>
            </w:r>
            <w:r w:rsidR="003E7D69">
              <w:rPr>
                <w:szCs w:val="24"/>
              </w:rPr>
              <w:t xml:space="preserve"> – both in the sense of availability of disabled toilet facilities and also location for people with mobility problems</w:t>
            </w:r>
            <w:r w:rsidRPr="00C35A93">
              <w:rPr>
                <w:szCs w:val="24"/>
              </w:rPr>
              <w:t>.</w:t>
            </w:r>
          </w:p>
          <w:p w:rsidR="00C35A93" w:rsidRDefault="00C35A93" w:rsidP="00164636">
            <w:pPr>
              <w:autoSpaceDE w:val="0"/>
              <w:autoSpaceDN w:val="0"/>
              <w:adjustRightInd w:val="0"/>
              <w:rPr>
                <w:szCs w:val="24"/>
              </w:rPr>
            </w:pPr>
          </w:p>
          <w:p w:rsidR="00C35A93" w:rsidRPr="00C35A93" w:rsidRDefault="00C35A93" w:rsidP="00164636">
            <w:pPr>
              <w:autoSpaceDE w:val="0"/>
              <w:autoSpaceDN w:val="0"/>
              <w:adjustRightInd w:val="0"/>
              <w:rPr>
                <w:rFonts w:cs="Arial"/>
                <w:szCs w:val="24"/>
                <w:lang w:eastAsia="en-US"/>
              </w:rPr>
            </w:pPr>
            <w:r>
              <w:rPr>
                <w:szCs w:val="24"/>
              </w:rPr>
              <w:t xml:space="preserve">Pregnancy – pregnant women are </w:t>
            </w:r>
            <w:r w:rsidR="003E7D69">
              <w:rPr>
                <w:szCs w:val="24"/>
              </w:rPr>
              <w:t>also</w:t>
            </w:r>
            <w:r>
              <w:rPr>
                <w:szCs w:val="24"/>
              </w:rPr>
              <w:t xml:space="preserve"> more likely have frequent use of toilet facilities.</w:t>
            </w:r>
          </w:p>
          <w:p w:rsidR="00C35A93" w:rsidRPr="00C35A93" w:rsidRDefault="00C35A93" w:rsidP="00164636">
            <w:pPr>
              <w:autoSpaceDE w:val="0"/>
              <w:autoSpaceDN w:val="0"/>
              <w:adjustRightInd w:val="0"/>
              <w:rPr>
                <w:rFonts w:cs="Arial"/>
                <w:szCs w:val="24"/>
                <w:lang w:eastAsia="en-US"/>
              </w:rPr>
            </w:pPr>
          </w:p>
          <w:p w:rsidR="00C35A93" w:rsidRDefault="00C35A93" w:rsidP="00C35A93">
            <w:pPr>
              <w:autoSpaceDE w:val="0"/>
              <w:autoSpaceDN w:val="0"/>
              <w:adjustRightInd w:val="0"/>
              <w:rPr>
                <w:rFonts w:cs="Arial"/>
                <w:szCs w:val="24"/>
                <w:lang w:eastAsia="en-US"/>
              </w:rPr>
            </w:pPr>
            <w:r w:rsidRPr="00C35A93">
              <w:rPr>
                <w:rFonts w:cs="Arial"/>
                <w:szCs w:val="24"/>
                <w:lang w:eastAsia="en-US"/>
              </w:rPr>
              <w:t>The extent of impact would also depend on whether specific facilities are affected (</w:t>
            </w:r>
            <w:proofErr w:type="spellStart"/>
            <w:r w:rsidRPr="00C35A93">
              <w:rPr>
                <w:rFonts w:cs="Arial"/>
                <w:szCs w:val="24"/>
                <w:lang w:eastAsia="en-US"/>
              </w:rPr>
              <w:t>eg</w:t>
            </w:r>
            <w:proofErr w:type="spellEnd"/>
            <w:r w:rsidRPr="00C35A93">
              <w:rPr>
                <w:rFonts w:cs="Arial"/>
                <w:szCs w:val="24"/>
                <w:lang w:eastAsia="en-US"/>
              </w:rPr>
              <w:t xml:space="preserve"> accessible toilets, those with baby changing facilities) and the proximity of alternative facilities.</w:t>
            </w:r>
          </w:p>
          <w:p w:rsidR="003F07DA" w:rsidRPr="00C35A93" w:rsidRDefault="003F07DA" w:rsidP="00C35A93">
            <w:pPr>
              <w:autoSpaceDE w:val="0"/>
              <w:autoSpaceDN w:val="0"/>
              <w:adjustRightInd w:val="0"/>
              <w:rPr>
                <w:rFonts w:cs="Arial"/>
                <w:szCs w:val="24"/>
                <w:lang w:eastAsia="en-US"/>
              </w:rPr>
            </w:pPr>
          </w:p>
        </w:tc>
      </w:tr>
      <w:tr w:rsidR="003F07DA" w:rsidTr="003F07DA">
        <w:tc>
          <w:tcPr>
            <w:tcW w:w="3828" w:type="dxa"/>
            <w:shd w:val="clear" w:color="auto" w:fill="FFFFFF" w:themeFill="background1"/>
          </w:tcPr>
          <w:p w:rsidR="003F07DA" w:rsidRDefault="003F07DA" w:rsidP="00185361">
            <w:pPr>
              <w:pStyle w:val="NoSpacing"/>
              <w:spacing w:after="120"/>
              <w:rPr>
                <w:lang w:val="en"/>
              </w:rPr>
            </w:pPr>
            <w:r>
              <w:rPr>
                <w:lang w:val="en"/>
              </w:rPr>
              <w:t>Justification – if negative impact is identified, can this be justified?</w:t>
            </w:r>
          </w:p>
          <w:p w:rsidR="003F07DA" w:rsidRPr="003F07DA" w:rsidRDefault="003F07DA" w:rsidP="00185361">
            <w:pPr>
              <w:pStyle w:val="NoSpacing"/>
              <w:spacing w:after="120"/>
              <w:rPr>
                <w:lang w:val="en"/>
              </w:rPr>
            </w:pPr>
          </w:p>
        </w:tc>
        <w:tc>
          <w:tcPr>
            <w:tcW w:w="5528" w:type="dxa"/>
          </w:tcPr>
          <w:p w:rsidR="003F07DA" w:rsidRPr="00DA69DE" w:rsidRDefault="003F07DA" w:rsidP="003F07DA">
            <w:pPr>
              <w:autoSpaceDE w:val="0"/>
              <w:autoSpaceDN w:val="0"/>
              <w:adjustRightInd w:val="0"/>
              <w:rPr>
                <w:rFonts w:cs="Arial"/>
                <w:szCs w:val="24"/>
              </w:rPr>
            </w:pPr>
            <w:r w:rsidRPr="00DA69DE">
              <w:rPr>
                <w:rFonts w:cs="Arial"/>
                <w:szCs w:val="24"/>
              </w:rPr>
              <w:t xml:space="preserve">The Council does not have a statutory responsibility to provide public conveniences, but in order to continue to be able to provide a service it is proposed to </w:t>
            </w:r>
            <w:r w:rsidR="004308FB">
              <w:rPr>
                <w:rFonts w:cs="Arial"/>
                <w:szCs w:val="24"/>
              </w:rPr>
              <w:t>review and rationalise current facilities</w:t>
            </w:r>
            <w:r w:rsidRPr="00DA69DE">
              <w:rPr>
                <w:rFonts w:cs="Arial"/>
                <w:szCs w:val="24"/>
              </w:rPr>
              <w:t xml:space="preserve">.  </w:t>
            </w:r>
          </w:p>
          <w:p w:rsidR="003F07DA" w:rsidRPr="00DA69DE" w:rsidRDefault="003F07DA" w:rsidP="003F07DA">
            <w:pPr>
              <w:autoSpaceDE w:val="0"/>
              <w:autoSpaceDN w:val="0"/>
              <w:adjustRightInd w:val="0"/>
              <w:rPr>
                <w:rFonts w:cs="Arial"/>
                <w:szCs w:val="24"/>
              </w:rPr>
            </w:pPr>
          </w:p>
          <w:p w:rsidR="003F07DA" w:rsidRPr="00DA69DE" w:rsidRDefault="003F07DA" w:rsidP="003F07DA">
            <w:pPr>
              <w:autoSpaceDE w:val="0"/>
              <w:autoSpaceDN w:val="0"/>
              <w:adjustRightInd w:val="0"/>
              <w:rPr>
                <w:rFonts w:cs="Arial"/>
                <w:szCs w:val="24"/>
              </w:rPr>
            </w:pPr>
            <w:r w:rsidRPr="00DA69DE">
              <w:rPr>
                <w:rFonts w:cs="Arial"/>
                <w:szCs w:val="24"/>
              </w:rPr>
              <w:t>There could be negative impact for service users and this may disproportionately impact on some groups including older people and disabled people.  The decision needs to be considered</w:t>
            </w:r>
            <w:r w:rsidRPr="00DA69DE">
              <w:rPr>
                <w:szCs w:val="24"/>
              </w:rPr>
              <w:t xml:space="preserve"> in the context of a requirement for significant savings to be found by the Council and whether this is a proportionate means of achieving a legitimate aim, i.e. the requirement for the Council to balance its budget. </w:t>
            </w:r>
          </w:p>
          <w:p w:rsidR="003F07DA" w:rsidRDefault="003F07DA" w:rsidP="003F07DA">
            <w:pPr>
              <w:rPr>
                <w:rFonts w:cs="Arial"/>
                <w:sz w:val="23"/>
                <w:szCs w:val="23"/>
              </w:rPr>
            </w:pPr>
          </w:p>
        </w:tc>
      </w:tr>
      <w:tr w:rsidR="00C81D44" w:rsidTr="003F07DA">
        <w:tc>
          <w:tcPr>
            <w:tcW w:w="3828" w:type="dxa"/>
            <w:shd w:val="clear" w:color="auto" w:fill="FFFFFF" w:themeFill="background1"/>
          </w:tcPr>
          <w:p w:rsidR="00C81D44" w:rsidRPr="003F07DA" w:rsidRDefault="00C413D7" w:rsidP="00185361">
            <w:pPr>
              <w:pStyle w:val="NoSpacing"/>
              <w:spacing w:after="120"/>
              <w:rPr>
                <w:highlight w:val="yellow"/>
                <w:lang w:val="en"/>
              </w:rPr>
            </w:pPr>
            <w:r w:rsidRPr="003F07DA">
              <w:rPr>
                <w:lang w:val="en"/>
              </w:rPr>
              <w:t>Mitigation - c</w:t>
            </w:r>
            <w:r w:rsidR="00C81D44" w:rsidRPr="003F07DA">
              <w:rPr>
                <w:lang w:val="en"/>
              </w:rPr>
              <w:t xml:space="preserve">an the potential for negative impact </w:t>
            </w:r>
            <w:r w:rsidR="00216E63" w:rsidRPr="003F07DA">
              <w:rPr>
                <w:lang w:val="en"/>
              </w:rPr>
              <w:t xml:space="preserve">on particular groups </w:t>
            </w:r>
            <w:r w:rsidR="00C81D44" w:rsidRPr="003F07DA">
              <w:rPr>
                <w:lang w:val="en"/>
              </w:rPr>
              <w:t xml:space="preserve">be removed or </w:t>
            </w:r>
            <w:proofErr w:type="spellStart"/>
            <w:r w:rsidR="00C81D44" w:rsidRPr="003F07DA">
              <w:rPr>
                <w:lang w:val="en"/>
              </w:rPr>
              <w:t>minimised</w:t>
            </w:r>
            <w:proofErr w:type="spellEnd"/>
            <w:r w:rsidR="00C81D44" w:rsidRPr="003F07DA">
              <w:rPr>
                <w:lang w:val="en"/>
              </w:rPr>
              <w:t>?</w:t>
            </w:r>
          </w:p>
        </w:tc>
        <w:tc>
          <w:tcPr>
            <w:tcW w:w="5528" w:type="dxa"/>
          </w:tcPr>
          <w:p w:rsidR="003F07DA" w:rsidRDefault="003F07DA" w:rsidP="003F07DA">
            <w:pPr>
              <w:rPr>
                <w:rFonts w:cs="Arial"/>
                <w:szCs w:val="24"/>
              </w:rPr>
            </w:pPr>
            <w:r>
              <w:rPr>
                <w:rFonts w:cs="Arial"/>
                <w:sz w:val="23"/>
                <w:szCs w:val="23"/>
              </w:rPr>
              <w:t xml:space="preserve">Further promotion of the Highland Comfort Scheme to </w:t>
            </w:r>
            <w:r>
              <w:rPr>
                <w:rFonts w:cs="Arial"/>
                <w:szCs w:val="24"/>
              </w:rPr>
              <w:t xml:space="preserve">encourage local businesses to make facilities available to the public, or for communities to take responsibility for public conveniences. </w:t>
            </w:r>
          </w:p>
          <w:p w:rsidR="00DA69DE" w:rsidRDefault="00DA69DE" w:rsidP="003F07DA">
            <w:pPr>
              <w:rPr>
                <w:rFonts w:cs="Arial"/>
                <w:szCs w:val="24"/>
              </w:rPr>
            </w:pPr>
          </w:p>
          <w:p w:rsidR="003F07DA" w:rsidRDefault="003F07DA" w:rsidP="003F07DA">
            <w:pPr>
              <w:rPr>
                <w:rFonts w:cs="Arial"/>
                <w:szCs w:val="24"/>
              </w:rPr>
            </w:pPr>
            <w:r>
              <w:rPr>
                <w:rFonts w:cs="Arial"/>
                <w:szCs w:val="24"/>
              </w:rPr>
              <w:t xml:space="preserve">Promotion and publicity of HCS facilities. </w:t>
            </w:r>
          </w:p>
          <w:p w:rsidR="00C81D44" w:rsidRPr="00360D10" w:rsidRDefault="00C81D44" w:rsidP="00CB1A00">
            <w:pPr>
              <w:rPr>
                <w:rFonts w:cs="Arial"/>
                <w:highlight w:val="yellow"/>
              </w:rPr>
            </w:pPr>
          </w:p>
        </w:tc>
      </w:tr>
    </w:tbl>
    <w:p w:rsidR="00185361" w:rsidRDefault="00185361" w:rsidP="00185361">
      <w:pPr>
        <w:pStyle w:val="NoSpacing"/>
        <w:spacing w:after="120"/>
        <w:ind w:left="714"/>
        <w:rPr>
          <w:lang w:val="en"/>
        </w:rPr>
      </w:pPr>
    </w:p>
    <w:p w:rsidR="00185361" w:rsidRDefault="00185361" w:rsidP="00185361">
      <w:pPr>
        <w:pStyle w:val="NoSpacing"/>
        <w:spacing w:after="120"/>
        <w:ind w:left="714"/>
        <w:rPr>
          <w:i/>
          <w:lang w:val="en"/>
        </w:rPr>
      </w:pPr>
    </w:p>
    <w:p w:rsidR="00AB3C6B" w:rsidRDefault="00AB3C6B" w:rsidP="00216E63">
      <w:pPr>
        <w:pStyle w:val="NoSpacing"/>
        <w:spacing w:after="120"/>
        <w:rPr>
          <w:lang w:val="en"/>
        </w:rPr>
      </w:pPr>
      <w:r w:rsidRPr="004F5041">
        <w:rPr>
          <w:lang w:val="en"/>
        </w:rPr>
        <w:t xml:space="preserve">Please provide details of arrangements to monitor and review the policy and any mitigating actions </w:t>
      </w:r>
    </w:p>
    <w:p w:rsidR="003F07DA" w:rsidRDefault="00565DBD" w:rsidP="00216E63">
      <w:pPr>
        <w:pStyle w:val="NoSpacing"/>
        <w:spacing w:after="120"/>
        <w:rPr>
          <w:color w:val="333333"/>
          <w:lang w:val="en"/>
        </w:rPr>
      </w:pPr>
      <w:r>
        <w:rPr>
          <w:color w:val="333333"/>
          <w:lang w:val="en"/>
        </w:rPr>
        <w:t>Mitigation noted above.</w:t>
      </w:r>
    </w:p>
    <w:p w:rsidR="00190806" w:rsidRPr="004F5041" w:rsidRDefault="00190806" w:rsidP="00216E63">
      <w:pPr>
        <w:pStyle w:val="NoSpacing"/>
        <w:spacing w:after="120"/>
        <w:rPr>
          <w:color w:val="333333"/>
          <w:lang w:val="en"/>
        </w:rPr>
      </w:pPr>
    </w:p>
    <w:p w:rsidR="004308FB" w:rsidRDefault="00AB3C6B" w:rsidP="00216E63">
      <w:pPr>
        <w:pStyle w:val="NoSpacing"/>
        <w:spacing w:after="120"/>
        <w:rPr>
          <w:lang w:val="en"/>
        </w:rPr>
      </w:pPr>
      <w:r w:rsidRPr="004F5041">
        <w:rPr>
          <w:lang w:val="en"/>
        </w:rPr>
        <w:t>Please state w</w:t>
      </w:r>
      <w:r w:rsidR="003F07DA">
        <w:rPr>
          <w:lang w:val="en"/>
        </w:rPr>
        <w:t xml:space="preserve">here the EQIA will be published: </w:t>
      </w:r>
    </w:p>
    <w:p w:rsidR="00AB3C6B" w:rsidRDefault="003F07DA" w:rsidP="00216E63">
      <w:pPr>
        <w:pStyle w:val="NoSpacing"/>
        <w:spacing w:after="120"/>
        <w:rPr>
          <w:lang w:val="en"/>
        </w:rPr>
      </w:pPr>
      <w:r>
        <w:rPr>
          <w:lang w:val="en"/>
        </w:rPr>
        <w:t>The assessment will be published on the Council website.</w:t>
      </w:r>
    </w:p>
    <w:p w:rsidR="003F07DA" w:rsidRDefault="003F07DA" w:rsidP="00216E63">
      <w:pPr>
        <w:pStyle w:val="NoSpacing"/>
        <w:spacing w:after="120"/>
        <w:rPr>
          <w:lang w:val="en"/>
        </w:rPr>
      </w:pPr>
    </w:p>
    <w:p w:rsidR="003F07DA" w:rsidRPr="00436048" w:rsidRDefault="003F07DA" w:rsidP="003F07DA">
      <w:pPr>
        <w:rPr>
          <w:b/>
        </w:rPr>
      </w:pPr>
      <w:r w:rsidRPr="00436048">
        <w:rPr>
          <w:b/>
        </w:rPr>
        <w:t xml:space="preserve">Equality Impact Assessment Sign off: </w:t>
      </w:r>
      <w:r w:rsidRPr="00436048">
        <w:rPr>
          <w:rFonts w:eastAsia="Times New Roman"/>
          <w:b/>
          <w:lang w:val="en"/>
        </w:rPr>
        <w:t>For completion by Director or Head of Service</w:t>
      </w:r>
    </w:p>
    <w:p w:rsidR="003F07DA" w:rsidRDefault="003F07DA" w:rsidP="003F07DA">
      <w:pPr>
        <w:shd w:val="clear" w:color="auto" w:fill="FFFFFF"/>
        <w:rPr>
          <w:rFonts w:eastAsia="Times New Roman" w:cs="Arial"/>
          <w:color w:val="333333"/>
          <w:lang w:val="en"/>
        </w:rPr>
      </w:pPr>
    </w:p>
    <w:p w:rsidR="003F07DA" w:rsidRPr="00A05407" w:rsidRDefault="003F07DA" w:rsidP="003F07DA">
      <w:pPr>
        <w:pStyle w:val="NoSpacing"/>
        <w:numPr>
          <w:ilvl w:val="0"/>
          <w:numId w:val="12"/>
        </w:numPr>
        <w:rPr>
          <w:lang w:val="en"/>
        </w:rPr>
      </w:pPr>
      <w:r w:rsidRPr="00A05407">
        <w:rPr>
          <w:lang w:val="en"/>
        </w:rPr>
        <w:t>Please check if you are satisfied that the foll</w:t>
      </w:r>
      <w:r>
        <w:rPr>
          <w:lang w:val="en"/>
        </w:rPr>
        <w:t xml:space="preserve">owing elements of the EQIA have </w:t>
      </w:r>
      <w:r w:rsidRPr="00A05407">
        <w:rPr>
          <w:lang w:val="en"/>
        </w:rPr>
        <w:t>been considered:</w:t>
      </w:r>
    </w:p>
    <w:p w:rsidR="003F07DA" w:rsidRDefault="003F07DA" w:rsidP="003F07DA">
      <w:pPr>
        <w:shd w:val="clear" w:color="auto" w:fill="FFFFFF"/>
        <w:spacing w:after="240"/>
        <w:rPr>
          <w:rFonts w:eastAsia="Times New Roman" w:cs="Arial"/>
          <w:color w:val="333333"/>
          <w:lang w:val="en"/>
        </w:rPr>
      </w:pPr>
      <w:r w:rsidRPr="005A1948">
        <w:rPr>
          <w:rFonts w:eastAsia="Times New Roman" w:cs="Arial"/>
          <w:color w:val="333333"/>
          <w:szCs w:val="24"/>
          <w:bdr w:val="nil"/>
          <w:lang w:val="en"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o:ole="">
            <v:imagedata r:id="rId9" o:title=""/>
          </v:shape>
          <w:control r:id="rId10" w:name="DefaultOcxName116" w:shapeid="_x0000_i1025"/>
        </w:object>
      </w:r>
      <w:r w:rsidRPr="005A1948">
        <w:rPr>
          <w:rFonts w:eastAsia="Times New Roman" w:cs="Arial"/>
          <w:color w:val="333333"/>
          <w:lang w:val="en"/>
        </w:rPr>
        <w:t>Gathering information</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27" type="#_x0000_t75" style="width:20.25pt;height:18pt" o:ole="">
            <v:imagedata r:id="rId11" o:title=""/>
          </v:shape>
          <w:control r:id="rId12" w:name="DefaultOcxName212" w:shapeid="_x0000_i1027"/>
        </w:object>
      </w:r>
      <w:r w:rsidRPr="005A1948">
        <w:rPr>
          <w:rFonts w:eastAsia="Times New Roman" w:cs="Arial"/>
          <w:color w:val="333333"/>
          <w:lang w:val="en"/>
        </w:rPr>
        <w:t>Consultation and involvement</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28" type="#_x0000_t75" style="width:20.25pt;height:18pt" o:ole="">
            <v:imagedata r:id="rId11" o:title=""/>
          </v:shape>
          <w:control r:id="rId13" w:name="DefaultOcxName38" w:shapeid="_x0000_i1028"/>
        </w:object>
      </w:r>
      <w:r w:rsidRPr="005A1948">
        <w:rPr>
          <w:rFonts w:eastAsia="Times New Roman" w:cs="Arial"/>
          <w:color w:val="333333"/>
          <w:lang w:val="en"/>
        </w:rPr>
        <w:t>Assessing impact for all protected characteristics</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29" type="#_x0000_t75" style="width:20.25pt;height:18pt" o:ole="">
            <v:imagedata r:id="rId11" o:title=""/>
          </v:shape>
          <w:control r:id="rId14" w:name="DefaultOcxName45" w:shapeid="_x0000_i1029"/>
        </w:object>
      </w:r>
      <w:r w:rsidRPr="005A1948">
        <w:rPr>
          <w:rFonts w:eastAsia="Times New Roman" w:cs="Arial"/>
          <w:color w:val="333333"/>
          <w:lang w:val="en"/>
        </w:rPr>
        <w:t>Mitigating actions identified (if required</w:t>
      </w:r>
      <w:proofErr w:type="gramStart"/>
      <w:r w:rsidRPr="005A1948">
        <w:rPr>
          <w:rFonts w:eastAsia="Times New Roman" w:cs="Arial"/>
          <w:color w:val="333333"/>
          <w:lang w:val="en"/>
        </w:rPr>
        <w:t>)</w:t>
      </w:r>
      <w:proofErr w:type="gramEnd"/>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26" type="#_x0000_t75" style="width:20.25pt;height:18pt" o:ole="">
            <v:imagedata r:id="rId9" o:title=""/>
          </v:shape>
          <w:control r:id="rId15" w:name="DefaultOcxName54" w:shapeid="_x0000_i1026"/>
        </w:object>
      </w:r>
      <w:r w:rsidRPr="005A1948">
        <w:rPr>
          <w:rFonts w:eastAsia="Times New Roman" w:cs="Arial"/>
          <w:color w:val="333333"/>
          <w:lang w:val="en"/>
        </w:rPr>
        <w:t>Opportunity to promote equality</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30" type="#_x0000_t75" style="width:20.25pt;height:18pt" o:ole="">
            <v:imagedata r:id="rId11" o:title=""/>
          </v:shape>
          <w:control r:id="rId16" w:name="DefaultOcxName64" w:shapeid="_x0000_i1030"/>
        </w:object>
      </w:r>
      <w:r w:rsidRPr="005A1948">
        <w:rPr>
          <w:rFonts w:eastAsia="Times New Roman" w:cs="Arial"/>
          <w:color w:val="333333"/>
          <w:lang w:val="en"/>
        </w:rPr>
        <w:t>Arrangements to monitor and review</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31" type="#_x0000_t75" style="width:20.25pt;height:18pt" o:ole="">
            <v:imagedata r:id="rId11" o:title=""/>
          </v:shape>
          <w:control r:id="rId17" w:name="DefaultOcxName73" w:shapeid="_x0000_i1031"/>
        </w:object>
      </w:r>
      <w:r w:rsidRPr="005A1948">
        <w:rPr>
          <w:rFonts w:eastAsia="Times New Roman" w:cs="Arial"/>
          <w:color w:val="333333"/>
          <w:lang w:val="en"/>
        </w:rPr>
        <w:t>Publication arrangements</w:t>
      </w:r>
      <w:r>
        <w:rPr>
          <w:rFonts w:eastAsia="Times New Roman" w:cs="Arial"/>
          <w:color w:val="333333"/>
          <w:lang w:val="en"/>
        </w:rPr>
        <w:br/>
      </w:r>
    </w:p>
    <w:p w:rsidR="003F07DA" w:rsidRDefault="003F07DA" w:rsidP="003F07DA">
      <w:pPr>
        <w:shd w:val="clear" w:color="auto" w:fill="FFFFFF"/>
        <w:spacing w:after="240"/>
      </w:pPr>
      <w:r>
        <w:rPr>
          <w:rFonts w:eastAsia="Times New Roman" w:cs="Arial"/>
          <w:color w:val="333333"/>
          <w:lang w:val="en"/>
        </w:rPr>
        <w:t xml:space="preserve">2.  </w:t>
      </w:r>
      <w:r>
        <w:rPr>
          <w:rFonts w:eastAsia="Times New Roman" w:cs="Arial"/>
          <w:color w:val="333333"/>
          <w:lang w:val="en"/>
        </w:rPr>
        <w:tab/>
      </w:r>
      <w:proofErr w:type="gramStart"/>
      <w:r>
        <w:rPr>
          <w:rFonts w:eastAsia="Times New Roman" w:cs="Arial"/>
          <w:color w:val="333333"/>
          <w:lang w:val="en"/>
        </w:rPr>
        <w:t>a</w:t>
      </w:r>
      <w:proofErr w:type="gramEnd"/>
      <w:r>
        <w:rPr>
          <w:rFonts w:eastAsia="Times New Roman" w:cs="Arial"/>
          <w:color w:val="333333"/>
          <w:lang w:val="en"/>
        </w:rPr>
        <w:t xml:space="preserve">) </w:t>
      </w:r>
      <w:r w:rsidRPr="00A05407">
        <w:rPr>
          <w:rFonts w:eastAsia="Times New Roman" w:cs="Arial"/>
          <w:color w:val="333333"/>
          <w:lang w:val="en"/>
        </w:rPr>
        <w:t>Are you prepared to sign off the EQIA?</w:t>
      </w:r>
      <w:r>
        <w:rPr>
          <w:rFonts w:eastAsia="Times New Roman" w:cs="Arial"/>
          <w:color w:val="333333"/>
          <w:lang w:val="en"/>
        </w:rPr>
        <w:t xml:space="preserve"> </w:t>
      </w:r>
      <w:r>
        <w:rPr>
          <w:rFonts w:eastAsia="Times New Roman" w:cs="Arial"/>
          <w:color w:val="333333"/>
          <w:lang w:val="en"/>
        </w:rPr>
        <w:tab/>
      </w:r>
      <w:r>
        <w:tab/>
        <w:t xml:space="preserve">YES </w:t>
      </w:r>
      <w:r w:rsidRPr="00FB4D57">
        <w:rPr>
          <w:sz w:val="40"/>
          <w:szCs w:val="40"/>
        </w:rPr>
        <w:sym w:font="Wingdings" w:char="F06F"/>
      </w:r>
      <w:r w:rsidR="00A45C0C">
        <w:rPr>
          <w:rFonts w:cs="Arial"/>
          <w:sz w:val="40"/>
          <w:szCs w:val="40"/>
        </w:rPr>
        <w:t>√</w:t>
      </w:r>
      <w:r>
        <w:rPr>
          <w:sz w:val="40"/>
          <w:szCs w:val="40"/>
        </w:rPr>
        <w:tab/>
      </w:r>
      <w:r w:rsidRPr="00FB4D57">
        <w:t>NO</w:t>
      </w:r>
      <w:r w:rsidRPr="00FB4D57">
        <w:rPr>
          <w:sz w:val="40"/>
          <w:szCs w:val="40"/>
        </w:rPr>
        <w:sym w:font="Wingdings" w:char="F06F"/>
      </w:r>
    </w:p>
    <w:p w:rsidR="003F07DA" w:rsidRDefault="003F07DA" w:rsidP="003F07DA">
      <w:r>
        <w:rPr>
          <w:rFonts w:eastAsia="Times New Roman" w:cs="Arial"/>
          <w:color w:val="333333"/>
          <w:lang w:val="en"/>
        </w:rPr>
        <w:tab/>
        <w:t xml:space="preserve">b) </w:t>
      </w:r>
      <w:r w:rsidRPr="005A1948">
        <w:rPr>
          <w:rFonts w:eastAsia="Times New Roman" w:cs="Arial"/>
          <w:color w:val="333333"/>
          <w:lang w:val="en"/>
        </w:rPr>
        <w:t>If "NO" provide details of why and next steps</w:t>
      </w:r>
    </w:p>
    <w:p w:rsidR="003F07DA" w:rsidRDefault="003F07DA" w:rsidP="003F07DA"/>
    <w:p w:rsidR="003F07DA" w:rsidRDefault="003F07DA" w:rsidP="003F07DA">
      <w:r>
        <w:t>Name</w:t>
      </w:r>
      <w:r w:rsidR="00A45C0C">
        <w:t xml:space="preserve"> </w:t>
      </w:r>
      <w:r w:rsidR="00A45C0C">
        <w:tab/>
      </w:r>
      <w:r w:rsidR="00A45C0C">
        <w:tab/>
        <w:t>Andy Summers</w:t>
      </w:r>
      <w:r w:rsidR="00A45C0C">
        <w:rPr>
          <w:noProof/>
        </w:rPr>
        <w:drawing>
          <wp:inline distT="0" distB="0" distL="0" distR="0" wp14:anchorId="24D74315" wp14:editId="713543F5">
            <wp:extent cx="2047875" cy="466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w Summers Signa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46968" cy="466518"/>
                    </a:xfrm>
                    <a:prstGeom prst="rect">
                      <a:avLst/>
                    </a:prstGeom>
                  </pic:spPr>
                </pic:pic>
              </a:graphicData>
            </a:graphic>
          </wp:inline>
        </w:drawing>
      </w:r>
    </w:p>
    <w:p w:rsidR="003F07DA" w:rsidRDefault="003F07DA" w:rsidP="003F07DA"/>
    <w:p w:rsidR="003F07DA" w:rsidRPr="003B144D" w:rsidRDefault="003F07DA" w:rsidP="003F07DA">
      <w:r>
        <w:t>Position</w:t>
      </w:r>
      <w:r>
        <w:tab/>
      </w:r>
      <w:r w:rsidR="00A45C0C">
        <w:t>Head of Environmental and Amenity Services</w:t>
      </w:r>
      <w:r w:rsidR="00A45C0C">
        <w:tab/>
      </w:r>
      <w:r>
        <w:t>Date:</w:t>
      </w:r>
      <w:r w:rsidR="00A45C0C">
        <w:t xml:space="preserve"> 13 February 2018</w:t>
      </w:r>
    </w:p>
    <w:p w:rsidR="003F07DA" w:rsidRPr="004F5041" w:rsidRDefault="003F07DA" w:rsidP="00216E63">
      <w:pPr>
        <w:pStyle w:val="NoSpacing"/>
        <w:spacing w:after="120"/>
        <w:rPr>
          <w:color w:val="333333"/>
          <w:lang w:val="en"/>
        </w:rPr>
      </w:pPr>
    </w:p>
    <w:p w:rsidR="000468A6" w:rsidRDefault="000468A6"/>
    <w:sectPr w:rsidR="00046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55A"/>
    <w:multiLevelType w:val="hybridMultilevel"/>
    <w:tmpl w:val="59FEF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8161F"/>
    <w:multiLevelType w:val="hybridMultilevel"/>
    <w:tmpl w:val="C598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52B61"/>
    <w:multiLevelType w:val="hybridMultilevel"/>
    <w:tmpl w:val="EAA0A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503C7C"/>
    <w:multiLevelType w:val="hybridMultilevel"/>
    <w:tmpl w:val="76A03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AD0FD5"/>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64791"/>
    <w:multiLevelType w:val="hybridMultilevel"/>
    <w:tmpl w:val="A82C3E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E935E5"/>
    <w:multiLevelType w:val="hybridMultilevel"/>
    <w:tmpl w:val="B14654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3447575E"/>
    <w:multiLevelType w:val="hybridMultilevel"/>
    <w:tmpl w:val="0BE0027A"/>
    <w:lvl w:ilvl="0" w:tplc="ADAA055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0E11EA2"/>
    <w:multiLevelType w:val="hybridMultilevel"/>
    <w:tmpl w:val="40AEB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434162D"/>
    <w:multiLevelType w:val="hybridMultilevel"/>
    <w:tmpl w:val="3A9CDB9A"/>
    <w:lvl w:ilvl="0" w:tplc="9374435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88C026C"/>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BDB5665"/>
    <w:multiLevelType w:val="hybridMultilevel"/>
    <w:tmpl w:val="36501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E136F1"/>
    <w:multiLevelType w:val="hybridMultilevel"/>
    <w:tmpl w:val="120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1"/>
  </w:num>
  <w:num w:numId="5">
    <w:abstractNumId w:val="2"/>
  </w:num>
  <w:num w:numId="6">
    <w:abstractNumId w:val="0"/>
  </w:num>
  <w:num w:numId="7">
    <w:abstractNumId w:val="10"/>
  </w:num>
  <w:num w:numId="8">
    <w:abstractNumId w:val="12"/>
  </w:num>
  <w:num w:numId="9">
    <w:abstractNumId w:val="1"/>
  </w:num>
  <w:num w:numId="10">
    <w:abstractNumId w:val="5"/>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6B"/>
    <w:rsid w:val="0000631D"/>
    <w:rsid w:val="000468A6"/>
    <w:rsid w:val="001532A2"/>
    <w:rsid w:val="00164636"/>
    <w:rsid w:val="001818AA"/>
    <w:rsid w:val="00185361"/>
    <w:rsid w:val="00190806"/>
    <w:rsid w:val="0019717D"/>
    <w:rsid w:val="001C15FB"/>
    <w:rsid w:val="001C4C0F"/>
    <w:rsid w:val="001C77E7"/>
    <w:rsid w:val="00216E63"/>
    <w:rsid w:val="00220AF5"/>
    <w:rsid w:val="0026787D"/>
    <w:rsid w:val="002E59C6"/>
    <w:rsid w:val="00304DA8"/>
    <w:rsid w:val="0030667A"/>
    <w:rsid w:val="00310AB9"/>
    <w:rsid w:val="00336C57"/>
    <w:rsid w:val="00360D10"/>
    <w:rsid w:val="003A6E16"/>
    <w:rsid w:val="003D191B"/>
    <w:rsid w:val="003E7D69"/>
    <w:rsid w:val="003F07DA"/>
    <w:rsid w:val="0042158A"/>
    <w:rsid w:val="004308FB"/>
    <w:rsid w:val="004739D1"/>
    <w:rsid w:val="00495EC9"/>
    <w:rsid w:val="00565DBD"/>
    <w:rsid w:val="005B6980"/>
    <w:rsid w:val="00604237"/>
    <w:rsid w:val="00614170"/>
    <w:rsid w:val="00646A49"/>
    <w:rsid w:val="00746CAE"/>
    <w:rsid w:val="007B5512"/>
    <w:rsid w:val="007D5762"/>
    <w:rsid w:val="007E4B2B"/>
    <w:rsid w:val="0081773C"/>
    <w:rsid w:val="008B5704"/>
    <w:rsid w:val="009053CD"/>
    <w:rsid w:val="009729D0"/>
    <w:rsid w:val="009A6364"/>
    <w:rsid w:val="00A45C0C"/>
    <w:rsid w:val="00A7290F"/>
    <w:rsid w:val="00AB3C6B"/>
    <w:rsid w:val="00AF2E32"/>
    <w:rsid w:val="00C14981"/>
    <w:rsid w:val="00C35A93"/>
    <w:rsid w:val="00C40A43"/>
    <w:rsid w:val="00C413D7"/>
    <w:rsid w:val="00C447E4"/>
    <w:rsid w:val="00C81D44"/>
    <w:rsid w:val="00CB1A00"/>
    <w:rsid w:val="00CB1D1B"/>
    <w:rsid w:val="00CC751E"/>
    <w:rsid w:val="00DA05A4"/>
    <w:rsid w:val="00DA69DE"/>
    <w:rsid w:val="00DF315E"/>
    <w:rsid w:val="00EB691F"/>
    <w:rsid w:val="00EE2CED"/>
    <w:rsid w:val="00EE3CD1"/>
    <w:rsid w:val="00F6790F"/>
    <w:rsid w:val="00F77F04"/>
    <w:rsid w:val="00FC4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info/1330/street_care_and_cleaning/112/street_care_and_cleaning/3" TargetMode="External"/><Relationship Id="rId13" Type="http://schemas.openxmlformats.org/officeDocument/2006/relationships/control" Target="activeX/activeX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www.equalityhumanrights.com/uploaded_files/Scotland/PSED_in_Scotland/essential_guide_to_the_psed.doc" TargetMode="Externa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control" Target="activeX/activeX5.xml"/><Relationship Id="rId10" Type="http://schemas.openxmlformats.org/officeDocument/2006/relationships/control" Target="activeX/activeX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2A8E-F0A9-41BD-90CF-CAB2B5A2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MacKinnon</dc:creator>
  <cp:lastModifiedBy>Andy Summers</cp:lastModifiedBy>
  <cp:revision>2</cp:revision>
  <cp:lastPrinted>2013-02-01T09:46:00Z</cp:lastPrinted>
  <dcterms:created xsi:type="dcterms:W3CDTF">2018-02-13T10:45:00Z</dcterms:created>
  <dcterms:modified xsi:type="dcterms:W3CDTF">2018-02-13T10:45:00Z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274656703</vt:i4>
  </property>
  <property fmtid="{D5CDD505-2E9C-101B-9397-08002B2CF9AE}" pid="3" name="_NewReviewCycle">
    <vt:lpwstr/>
  </property>
  <property fmtid="{D5CDD505-2E9C-101B-9397-08002B2CF9AE}" pid="4" name="_EmailSubject">
    <vt:lpwstr>uploading files to web</vt:lpwstr>
  </property>
  <property fmtid="{D5CDD505-2E9C-101B-9397-08002B2CF9AE}" pid="5" name="_AuthorEmail">
    <vt:lpwstr>rosemary.mackinnon@highland.gov.uk</vt:lpwstr>
  </property>
  <property fmtid="{D5CDD505-2E9C-101B-9397-08002B2CF9AE}" pid="6" name="_AuthorEmailDisplayName">
    <vt:lpwstr>Rosemary MacKinnon</vt:lpwstr>
  </property>
  <property fmtid="{D5CDD505-2E9C-101B-9397-08002B2CF9AE}" pid="7" name="_PreviousAdHocReviewCycleID">
    <vt:i4>274656703</vt:i4>
  </property>
</Properties>
</file>