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F9909" w14:textId="653E1388" w:rsidR="00235084" w:rsidRDefault="00AE25CE" w:rsidP="002E0349">
      <w:pPr>
        <w:jc w:val="center"/>
        <w:rPr>
          <w:rFonts w:ascii="Arial" w:hAnsi="Arial" w:cs="Arial"/>
          <w:sz w:val="24"/>
          <w:szCs w:val="24"/>
        </w:rPr>
      </w:pPr>
      <w:bookmarkStart w:id="0" w:name="_GoBack"/>
      <w:bookmarkEnd w:id="0"/>
      <w:r>
        <w:rPr>
          <w:rFonts w:ascii="Arial" w:hAnsi="Arial" w:cs="Arial"/>
          <w:sz w:val="24"/>
          <w:szCs w:val="24"/>
        </w:rPr>
        <w:t>Redesign Board</w:t>
      </w:r>
      <w:r w:rsidR="00A87BB3">
        <w:rPr>
          <w:rFonts w:ascii="Arial" w:hAnsi="Arial" w:cs="Arial"/>
          <w:sz w:val="24"/>
          <w:szCs w:val="24"/>
        </w:rPr>
        <w:t xml:space="preserve"> - </w:t>
      </w:r>
      <w:r w:rsidR="00A667B7">
        <w:rPr>
          <w:rFonts w:ascii="Arial" w:hAnsi="Arial" w:cs="Arial"/>
          <w:sz w:val="24"/>
          <w:szCs w:val="24"/>
        </w:rPr>
        <w:t>Performance Briefing</w:t>
      </w:r>
      <w:r w:rsidR="00F43C3F">
        <w:rPr>
          <w:rFonts w:ascii="Arial" w:hAnsi="Arial" w:cs="Arial"/>
          <w:sz w:val="24"/>
          <w:szCs w:val="24"/>
        </w:rPr>
        <w:t xml:space="preserve"> Note</w:t>
      </w:r>
    </w:p>
    <w:p w14:paraId="699F2DBD" w14:textId="3FAB11C9" w:rsidR="009C4FAF" w:rsidRDefault="00C434CB" w:rsidP="002E0349">
      <w:pPr>
        <w:jc w:val="center"/>
        <w:rPr>
          <w:rFonts w:ascii="Arial" w:hAnsi="Arial" w:cs="Arial"/>
          <w:sz w:val="24"/>
          <w:szCs w:val="24"/>
        </w:rPr>
      </w:pPr>
      <w:r>
        <w:rPr>
          <w:rFonts w:ascii="Arial" w:hAnsi="Arial" w:cs="Arial"/>
          <w:sz w:val="24"/>
          <w:szCs w:val="24"/>
        </w:rPr>
        <w:t xml:space="preserve">Accounts Commission - </w:t>
      </w:r>
      <w:r w:rsidR="00235084">
        <w:rPr>
          <w:rFonts w:ascii="Arial" w:hAnsi="Arial" w:cs="Arial"/>
          <w:sz w:val="24"/>
          <w:szCs w:val="24"/>
        </w:rPr>
        <w:t>Be</w:t>
      </w:r>
      <w:r w:rsidR="00AE25CE">
        <w:rPr>
          <w:rFonts w:ascii="Arial" w:hAnsi="Arial" w:cs="Arial"/>
          <w:sz w:val="24"/>
          <w:szCs w:val="24"/>
        </w:rPr>
        <w:t xml:space="preserve">st Value Assurance </w:t>
      </w:r>
      <w:r>
        <w:rPr>
          <w:rFonts w:ascii="Arial" w:hAnsi="Arial" w:cs="Arial"/>
          <w:sz w:val="24"/>
          <w:szCs w:val="24"/>
        </w:rPr>
        <w:t>Reports</w:t>
      </w:r>
      <w:r w:rsidR="00AE25CE">
        <w:rPr>
          <w:rFonts w:ascii="Arial" w:hAnsi="Arial" w:cs="Arial"/>
          <w:sz w:val="24"/>
          <w:szCs w:val="24"/>
        </w:rPr>
        <w:t xml:space="preserve"> </w:t>
      </w:r>
    </w:p>
    <w:p w14:paraId="5E83E2FF" w14:textId="6C27AA95" w:rsidR="00097A16" w:rsidRDefault="00097A16" w:rsidP="002E0349">
      <w:pPr>
        <w:jc w:val="center"/>
        <w:rPr>
          <w:rFonts w:ascii="Arial" w:hAnsi="Arial" w:cs="Arial"/>
          <w:sz w:val="24"/>
          <w:szCs w:val="24"/>
        </w:rPr>
      </w:pPr>
      <w:r>
        <w:rPr>
          <w:rFonts w:ascii="Arial" w:hAnsi="Arial" w:cs="Arial"/>
          <w:sz w:val="24"/>
          <w:szCs w:val="24"/>
        </w:rPr>
        <w:t>Report by Corporate Audit &amp; Performance Manager</w:t>
      </w:r>
    </w:p>
    <w:p w14:paraId="607FEB6D" w14:textId="1F0CEB47" w:rsidR="00AE25CE" w:rsidRPr="009C4FAF" w:rsidRDefault="00097A16" w:rsidP="002E0349">
      <w:pPr>
        <w:jc w:val="center"/>
        <w:rPr>
          <w:rFonts w:ascii="Arial" w:hAnsi="Arial" w:cs="Arial"/>
          <w:sz w:val="24"/>
          <w:szCs w:val="24"/>
        </w:rPr>
      </w:pPr>
      <w:r>
        <w:rPr>
          <w:rFonts w:ascii="Arial" w:hAnsi="Arial" w:cs="Arial"/>
          <w:sz w:val="24"/>
          <w:szCs w:val="24"/>
        </w:rPr>
        <w:t xml:space="preserve">13 </w:t>
      </w:r>
      <w:r w:rsidR="005A1814">
        <w:rPr>
          <w:rFonts w:ascii="Arial" w:hAnsi="Arial" w:cs="Arial"/>
          <w:sz w:val="24"/>
          <w:szCs w:val="24"/>
        </w:rPr>
        <w:t>Feb</w:t>
      </w:r>
      <w:r>
        <w:rPr>
          <w:rFonts w:ascii="Arial" w:hAnsi="Arial" w:cs="Arial"/>
          <w:sz w:val="24"/>
          <w:szCs w:val="24"/>
        </w:rPr>
        <w:t xml:space="preserve">ruary </w:t>
      </w:r>
      <w:r w:rsidR="00422A64">
        <w:rPr>
          <w:rFonts w:ascii="Arial" w:hAnsi="Arial" w:cs="Arial"/>
          <w:sz w:val="24"/>
          <w:szCs w:val="24"/>
        </w:rPr>
        <w:t>2018</w:t>
      </w:r>
    </w:p>
    <w:tbl>
      <w:tblPr>
        <w:tblStyle w:val="TableGrid"/>
        <w:tblW w:w="1049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
        <w:gridCol w:w="9940"/>
      </w:tblGrid>
      <w:tr w:rsidR="009C4FAF" w:rsidRPr="009C4FAF" w14:paraId="4FD0C0F8" w14:textId="77777777" w:rsidTr="001C59F1">
        <w:tc>
          <w:tcPr>
            <w:tcW w:w="550" w:type="dxa"/>
          </w:tcPr>
          <w:p w14:paraId="1D93715C" w14:textId="77777777" w:rsidR="009C4FAF" w:rsidRPr="00436346" w:rsidRDefault="009C4FAF" w:rsidP="009C4FAF">
            <w:pPr>
              <w:rPr>
                <w:rFonts w:ascii="Arial" w:hAnsi="Arial" w:cs="Arial"/>
                <w:b/>
                <w:sz w:val="24"/>
                <w:szCs w:val="24"/>
              </w:rPr>
            </w:pPr>
            <w:r w:rsidRPr="00436346">
              <w:rPr>
                <w:rFonts w:ascii="Arial" w:hAnsi="Arial" w:cs="Arial"/>
                <w:b/>
                <w:sz w:val="24"/>
                <w:szCs w:val="24"/>
              </w:rPr>
              <w:t>1.</w:t>
            </w:r>
          </w:p>
        </w:tc>
        <w:tc>
          <w:tcPr>
            <w:tcW w:w="9940" w:type="dxa"/>
            <w:vAlign w:val="bottom"/>
          </w:tcPr>
          <w:p w14:paraId="1D62CF37" w14:textId="77777777" w:rsidR="001F452C" w:rsidRDefault="009C4FAF" w:rsidP="009C4FAF">
            <w:pPr>
              <w:rPr>
                <w:rFonts w:ascii="Arial" w:hAnsi="Arial" w:cs="Arial"/>
                <w:b/>
                <w:sz w:val="24"/>
                <w:szCs w:val="24"/>
              </w:rPr>
            </w:pPr>
            <w:r w:rsidRPr="00436346">
              <w:rPr>
                <w:rFonts w:ascii="Arial" w:hAnsi="Arial" w:cs="Arial"/>
                <w:b/>
                <w:sz w:val="24"/>
                <w:szCs w:val="24"/>
              </w:rPr>
              <w:t>Background</w:t>
            </w:r>
          </w:p>
          <w:p w14:paraId="47A2E8FB" w14:textId="72B442CD" w:rsidR="009C4FAF" w:rsidRPr="00436346" w:rsidRDefault="009C4FAF" w:rsidP="009C4FAF">
            <w:pPr>
              <w:rPr>
                <w:rFonts w:ascii="Arial" w:hAnsi="Arial" w:cs="Arial"/>
                <w:b/>
                <w:sz w:val="24"/>
                <w:szCs w:val="24"/>
              </w:rPr>
            </w:pPr>
          </w:p>
        </w:tc>
      </w:tr>
      <w:tr w:rsidR="001C59F1" w:rsidRPr="009C4FAF" w14:paraId="09301C68" w14:textId="77777777" w:rsidTr="001C59F1">
        <w:tc>
          <w:tcPr>
            <w:tcW w:w="550" w:type="dxa"/>
          </w:tcPr>
          <w:p w14:paraId="1D340ECE" w14:textId="0E931D0C" w:rsidR="001C59F1" w:rsidRDefault="001C59F1" w:rsidP="001C59F1">
            <w:pPr>
              <w:rPr>
                <w:rFonts w:ascii="Arial" w:hAnsi="Arial" w:cs="Arial"/>
                <w:sz w:val="24"/>
                <w:szCs w:val="24"/>
              </w:rPr>
            </w:pPr>
            <w:r>
              <w:rPr>
                <w:rFonts w:ascii="Arial" w:hAnsi="Arial" w:cs="Arial"/>
                <w:sz w:val="24"/>
                <w:szCs w:val="24"/>
              </w:rPr>
              <w:t>1.1</w:t>
            </w:r>
          </w:p>
          <w:p w14:paraId="1D139870" w14:textId="2E8D248D" w:rsidR="001C59F1" w:rsidRDefault="001C59F1" w:rsidP="001C59F1">
            <w:pPr>
              <w:rPr>
                <w:rFonts w:ascii="Arial" w:hAnsi="Arial" w:cs="Arial"/>
                <w:sz w:val="24"/>
                <w:szCs w:val="24"/>
              </w:rPr>
            </w:pPr>
          </w:p>
        </w:tc>
        <w:tc>
          <w:tcPr>
            <w:tcW w:w="9940" w:type="dxa"/>
            <w:vAlign w:val="bottom"/>
          </w:tcPr>
          <w:p w14:paraId="63F7409C" w14:textId="27FEDB36" w:rsidR="001C59F1" w:rsidRDefault="001C59F1" w:rsidP="001C59F1">
            <w:pPr>
              <w:rPr>
                <w:rFonts w:ascii="Arial" w:hAnsi="Arial" w:cs="Arial"/>
                <w:sz w:val="24"/>
                <w:szCs w:val="24"/>
              </w:rPr>
            </w:pPr>
            <w:r w:rsidRPr="001C59F1">
              <w:rPr>
                <w:rFonts w:ascii="Arial" w:hAnsi="Arial" w:cs="Arial"/>
                <w:sz w:val="24"/>
                <w:szCs w:val="24"/>
              </w:rPr>
              <w:t xml:space="preserve">The </w:t>
            </w:r>
            <w:r>
              <w:rPr>
                <w:rFonts w:ascii="Arial" w:hAnsi="Arial" w:cs="Arial"/>
                <w:sz w:val="24"/>
                <w:szCs w:val="24"/>
              </w:rPr>
              <w:t>Redesign B</w:t>
            </w:r>
            <w:r w:rsidRPr="001C59F1">
              <w:rPr>
                <w:rFonts w:ascii="Arial" w:hAnsi="Arial" w:cs="Arial"/>
                <w:sz w:val="24"/>
                <w:szCs w:val="24"/>
              </w:rPr>
              <w:t>oard</w:t>
            </w:r>
            <w:r>
              <w:rPr>
                <w:rFonts w:ascii="Arial" w:hAnsi="Arial" w:cs="Arial"/>
                <w:sz w:val="24"/>
                <w:szCs w:val="24"/>
              </w:rPr>
              <w:t>’s remit and work plan were agreed at Council on 7 September 2017</w:t>
            </w:r>
            <w:r w:rsidRPr="001C59F1">
              <w:rPr>
                <w:rFonts w:ascii="Arial" w:hAnsi="Arial" w:cs="Arial"/>
                <w:sz w:val="24"/>
                <w:szCs w:val="24"/>
              </w:rPr>
              <w:t xml:space="preserve"> </w:t>
            </w:r>
            <w:r>
              <w:rPr>
                <w:rFonts w:ascii="Arial" w:hAnsi="Arial" w:cs="Arial"/>
                <w:sz w:val="24"/>
                <w:szCs w:val="24"/>
              </w:rPr>
              <w:t xml:space="preserve">and </w:t>
            </w:r>
            <w:r w:rsidR="00AD507A">
              <w:rPr>
                <w:rFonts w:ascii="Arial" w:hAnsi="Arial" w:cs="Arial"/>
                <w:sz w:val="24"/>
                <w:szCs w:val="24"/>
              </w:rPr>
              <w:t>these included an action that the Board would be briefed on the new approach to Best Value Assurance Reviews for local authorities by Audit Scotland and consider</w:t>
            </w:r>
            <w:r w:rsidRPr="001C59F1">
              <w:rPr>
                <w:rFonts w:ascii="Arial" w:hAnsi="Arial" w:cs="Arial"/>
                <w:sz w:val="24"/>
                <w:szCs w:val="24"/>
              </w:rPr>
              <w:t xml:space="preserve"> how </w:t>
            </w:r>
            <w:r w:rsidR="00AD507A">
              <w:rPr>
                <w:rFonts w:ascii="Arial" w:hAnsi="Arial" w:cs="Arial"/>
                <w:sz w:val="24"/>
                <w:szCs w:val="24"/>
              </w:rPr>
              <w:t xml:space="preserve">the work of the Board is </w:t>
            </w:r>
            <w:r>
              <w:rPr>
                <w:rFonts w:ascii="Arial" w:hAnsi="Arial" w:cs="Arial"/>
                <w:sz w:val="24"/>
                <w:szCs w:val="24"/>
              </w:rPr>
              <w:t xml:space="preserve">contributing to </w:t>
            </w:r>
            <w:r w:rsidR="003235A4">
              <w:rPr>
                <w:rFonts w:ascii="Arial" w:hAnsi="Arial" w:cs="Arial"/>
                <w:sz w:val="24"/>
                <w:szCs w:val="24"/>
              </w:rPr>
              <w:t>strengthening the Council’s approach to Best Value.</w:t>
            </w:r>
            <w:r>
              <w:rPr>
                <w:rFonts w:ascii="Arial" w:hAnsi="Arial" w:cs="Arial"/>
                <w:sz w:val="24"/>
                <w:szCs w:val="24"/>
              </w:rPr>
              <w:t xml:space="preserve"> </w:t>
            </w:r>
          </w:p>
          <w:p w14:paraId="13CBB6CA" w14:textId="1F769BEE" w:rsidR="001C59F1" w:rsidRDefault="001C59F1" w:rsidP="001C59F1">
            <w:pPr>
              <w:rPr>
                <w:rFonts w:ascii="Arial" w:hAnsi="Arial" w:cs="Arial"/>
                <w:sz w:val="24"/>
                <w:szCs w:val="24"/>
              </w:rPr>
            </w:pPr>
          </w:p>
        </w:tc>
      </w:tr>
      <w:tr w:rsidR="009C4FAF" w:rsidRPr="009C4FAF" w14:paraId="7032E34D" w14:textId="77777777" w:rsidTr="001C59F1">
        <w:tc>
          <w:tcPr>
            <w:tcW w:w="550" w:type="dxa"/>
          </w:tcPr>
          <w:p w14:paraId="4461C0DE" w14:textId="7960AD37" w:rsidR="009C4FAF" w:rsidRPr="009C4FAF" w:rsidRDefault="00951679" w:rsidP="00AE25CE">
            <w:pPr>
              <w:rPr>
                <w:rFonts w:ascii="Arial" w:hAnsi="Arial" w:cs="Arial"/>
                <w:sz w:val="24"/>
                <w:szCs w:val="24"/>
              </w:rPr>
            </w:pPr>
            <w:r>
              <w:rPr>
                <w:rFonts w:ascii="Arial" w:hAnsi="Arial" w:cs="Arial"/>
                <w:sz w:val="24"/>
                <w:szCs w:val="24"/>
              </w:rPr>
              <w:t>1.</w:t>
            </w:r>
            <w:r w:rsidR="001C59F1">
              <w:rPr>
                <w:rFonts w:ascii="Arial" w:hAnsi="Arial" w:cs="Arial"/>
                <w:sz w:val="24"/>
                <w:szCs w:val="24"/>
              </w:rPr>
              <w:t>2</w:t>
            </w:r>
          </w:p>
        </w:tc>
        <w:tc>
          <w:tcPr>
            <w:tcW w:w="9940" w:type="dxa"/>
            <w:vAlign w:val="bottom"/>
          </w:tcPr>
          <w:p w14:paraId="268F6353" w14:textId="77777777" w:rsidR="00097A16" w:rsidRDefault="00951679" w:rsidP="00451CF2">
            <w:pPr>
              <w:rPr>
                <w:rFonts w:ascii="Arial" w:hAnsi="Arial" w:cs="Arial"/>
                <w:sz w:val="24"/>
                <w:szCs w:val="24"/>
              </w:rPr>
            </w:pPr>
            <w:r>
              <w:rPr>
                <w:rFonts w:ascii="Arial" w:hAnsi="Arial" w:cs="Arial"/>
                <w:sz w:val="24"/>
                <w:szCs w:val="24"/>
              </w:rPr>
              <w:t>The Council has a statutory duty under Best Value and the Accounts Commission has had a process of Best Value reviews of Councils in place</w:t>
            </w:r>
            <w:r w:rsidR="00436346">
              <w:rPr>
                <w:rFonts w:ascii="Arial" w:hAnsi="Arial" w:cs="Arial"/>
                <w:sz w:val="24"/>
                <w:szCs w:val="24"/>
              </w:rPr>
              <w:t xml:space="preserve"> for some time.  The last Best Value Audit of the Council was in </w:t>
            </w:r>
            <w:r>
              <w:rPr>
                <w:rFonts w:ascii="Arial" w:hAnsi="Arial" w:cs="Arial"/>
                <w:sz w:val="24"/>
                <w:szCs w:val="24"/>
              </w:rPr>
              <w:t>200</w:t>
            </w:r>
            <w:r w:rsidR="007F41CD">
              <w:rPr>
                <w:rFonts w:ascii="Arial" w:hAnsi="Arial" w:cs="Arial"/>
                <w:sz w:val="24"/>
                <w:szCs w:val="24"/>
              </w:rPr>
              <w:t>9</w:t>
            </w:r>
            <w:r>
              <w:rPr>
                <w:rFonts w:ascii="Arial" w:hAnsi="Arial" w:cs="Arial"/>
                <w:sz w:val="24"/>
                <w:szCs w:val="24"/>
              </w:rPr>
              <w:t xml:space="preserve">. The Accounts Commission has </w:t>
            </w:r>
            <w:r w:rsidR="00451CF2">
              <w:rPr>
                <w:rFonts w:ascii="Arial" w:hAnsi="Arial" w:cs="Arial"/>
                <w:sz w:val="24"/>
                <w:szCs w:val="24"/>
              </w:rPr>
              <w:t xml:space="preserve">just </w:t>
            </w:r>
            <w:r w:rsidR="00AE25CE">
              <w:rPr>
                <w:rFonts w:ascii="Arial" w:hAnsi="Arial" w:cs="Arial"/>
                <w:sz w:val="24"/>
                <w:szCs w:val="24"/>
              </w:rPr>
              <w:t>started implementing a new approach to Best Value</w:t>
            </w:r>
            <w:r w:rsidR="00695BAD">
              <w:rPr>
                <w:rFonts w:ascii="Arial" w:hAnsi="Arial" w:cs="Arial"/>
                <w:sz w:val="24"/>
                <w:szCs w:val="24"/>
              </w:rPr>
              <w:t xml:space="preserve"> (BV)</w:t>
            </w:r>
            <w:r w:rsidR="00AE25CE">
              <w:rPr>
                <w:rFonts w:ascii="Arial" w:hAnsi="Arial" w:cs="Arial"/>
                <w:sz w:val="24"/>
                <w:szCs w:val="24"/>
              </w:rPr>
              <w:t xml:space="preserve"> through Best Value Assurance Reports (BVAR).  </w:t>
            </w:r>
            <w:r w:rsidR="00204DC8">
              <w:rPr>
                <w:rFonts w:ascii="Arial" w:hAnsi="Arial" w:cs="Arial"/>
                <w:sz w:val="24"/>
                <w:szCs w:val="24"/>
              </w:rPr>
              <w:t>The definition of B</w:t>
            </w:r>
            <w:r w:rsidR="00451CF2">
              <w:rPr>
                <w:rFonts w:ascii="Arial" w:hAnsi="Arial" w:cs="Arial"/>
                <w:sz w:val="24"/>
                <w:szCs w:val="24"/>
              </w:rPr>
              <w:t>V</w:t>
            </w:r>
            <w:r w:rsidR="00204DC8">
              <w:rPr>
                <w:rFonts w:ascii="Arial" w:hAnsi="Arial" w:cs="Arial"/>
                <w:sz w:val="24"/>
                <w:szCs w:val="24"/>
              </w:rPr>
              <w:t xml:space="preserve"> under the Local Government Scotland Act 2003 place</w:t>
            </w:r>
            <w:r w:rsidR="00451CF2">
              <w:rPr>
                <w:rFonts w:ascii="Arial" w:hAnsi="Arial" w:cs="Arial"/>
                <w:sz w:val="24"/>
                <w:szCs w:val="24"/>
              </w:rPr>
              <w:t>s</w:t>
            </w:r>
            <w:r w:rsidR="00204DC8">
              <w:rPr>
                <w:rFonts w:ascii="Arial" w:hAnsi="Arial" w:cs="Arial"/>
                <w:sz w:val="24"/>
                <w:szCs w:val="24"/>
              </w:rPr>
              <w:t xml:space="preserve"> specific duties to:</w:t>
            </w:r>
            <w:r w:rsidR="00695BAD">
              <w:rPr>
                <w:rFonts w:ascii="Arial" w:hAnsi="Arial" w:cs="Arial"/>
                <w:sz w:val="24"/>
                <w:szCs w:val="24"/>
              </w:rPr>
              <w:t xml:space="preserve"> </w:t>
            </w:r>
            <w:r w:rsidR="00204DC8">
              <w:rPr>
                <w:rFonts w:ascii="Arial" w:hAnsi="Arial" w:cs="Arial"/>
                <w:sz w:val="24"/>
                <w:szCs w:val="24"/>
              </w:rPr>
              <w:t>‘make arrangements which secure Best Value</w:t>
            </w:r>
            <w:r w:rsidR="00695BAD">
              <w:rPr>
                <w:rFonts w:ascii="Arial" w:hAnsi="Arial" w:cs="Arial"/>
                <w:sz w:val="24"/>
                <w:szCs w:val="24"/>
              </w:rPr>
              <w:t>’</w:t>
            </w:r>
            <w:r w:rsidR="00451CF2">
              <w:rPr>
                <w:rFonts w:ascii="Arial" w:hAnsi="Arial" w:cs="Arial"/>
                <w:sz w:val="24"/>
                <w:szCs w:val="24"/>
              </w:rPr>
              <w:t xml:space="preserve"> which is about ensuring that there is</w:t>
            </w:r>
            <w:r w:rsidR="00451CF2" w:rsidRPr="008813CF">
              <w:rPr>
                <w:rFonts w:ascii="Arial" w:hAnsi="Arial" w:cs="Arial"/>
                <w:sz w:val="24"/>
                <w:szCs w:val="24"/>
              </w:rPr>
              <w:t xml:space="preserve"> good governance and effective management of resources, with a focus on improvement, to deliver the best possible outcomes for the public</w:t>
            </w:r>
            <w:r w:rsidR="00097A16">
              <w:rPr>
                <w:rFonts w:ascii="Arial" w:hAnsi="Arial" w:cs="Arial"/>
                <w:sz w:val="24"/>
                <w:szCs w:val="24"/>
              </w:rPr>
              <w:t>.</w:t>
            </w:r>
          </w:p>
          <w:p w14:paraId="7530E7A0" w14:textId="65E22770" w:rsidR="009C4FAF" w:rsidRPr="009C4FAF" w:rsidRDefault="009C4FAF" w:rsidP="00451CF2">
            <w:pPr>
              <w:rPr>
                <w:rFonts w:ascii="Arial" w:hAnsi="Arial" w:cs="Arial"/>
                <w:sz w:val="24"/>
                <w:szCs w:val="24"/>
              </w:rPr>
            </w:pPr>
          </w:p>
        </w:tc>
      </w:tr>
      <w:tr w:rsidR="00097A16" w:rsidRPr="009C4FAF" w14:paraId="31E03700" w14:textId="77777777" w:rsidTr="001C59F1">
        <w:tc>
          <w:tcPr>
            <w:tcW w:w="550" w:type="dxa"/>
          </w:tcPr>
          <w:p w14:paraId="55C4280F" w14:textId="1E8B3BF2" w:rsidR="00097A16" w:rsidRDefault="001C59F1" w:rsidP="00AE25CE">
            <w:pPr>
              <w:rPr>
                <w:rFonts w:ascii="Arial" w:hAnsi="Arial" w:cs="Arial"/>
                <w:sz w:val="24"/>
                <w:szCs w:val="24"/>
              </w:rPr>
            </w:pPr>
            <w:r>
              <w:rPr>
                <w:rFonts w:ascii="Arial" w:hAnsi="Arial" w:cs="Arial"/>
                <w:sz w:val="24"/>
                <w:szCs w:val="24"/>
              </w:rPr>
              <w:t>1.3</w:t>
            </w:r>
          </w:p>
        </w:tc>
        <w:tc>
          <w:tcPr>
            <w:tcW w:w="9940" w:type="dxa"/>
            <w:vAlign w:val="bottom"/>
          </w:tcPr>
          <w:p w14:paraId="6141BC43" w14:textId="3208C0EB" w:rsidR="00097A16" w:rsidRDefault="00097A16" w:rsidP="00612573">
            <w:pPr>
              <w:rPr>
                <w:rFonts w:ascii="Arial" w:hAnsi="Arial" w:cs="Arial"/>
                <w:sz w:val="24"/>
                <w:szCs w:val="24"/>
              </w:rPr>
            </w:pPr>
            <w:r>
              <w:rPr>
                <w:rFonts w:ascii="Arial" w:hAnsi="Arial" w:cs="Arial"/>
                <w:sz w:val="24"/>
                <w:szCs w:val="24"/>
              </w:rPr>
              <w:t xml:space="preserve">A Best Value audit is a significant assessment for any local authority and a poor result will be damaging to the Council’s reputation through public reporting of the results.  There is also the potential for </w:t>
            </w:r>
            <w:r w:rsidR="00612573">
              <w:rPr>
                <w:rFonts w:ascii="Arial" w:hAnsi="Arial" w:cs="Arial"/>
                <w:sz w:val="24"/>
                <w:szCs w:val="24"/>
              </w:rPr>
              <w:t xml:space="preserve">enforcement action from taking over management of the Council to </w:t>
            </w:r>
            <w:r>
              <w:rPr>
                <w:rFonts w:ascii="Arial" w:hAnsi="Arial" w:cs="Arial"/>
                <w:sz w:val="24"/>
                <w:szCs w:val="24"/>
              </w:rPr>
              <w:t xml:space="preserve">additional scrutiny burdens as external audit seek on-going assurance that improvement is being driven strategically.  The Council’s last audit in 2009 was very positive but given the </w:t>
            </w:r>
            <w:r w:rsidRPr="00097A16">
              <w:rPr>
                <w:rFonts w:ascii="Arial" w:hAnsi="Arial" w:cs="Arial"/>
                <w:sz w:val="24"/>
                <w:szCs w:val="24"/>
              </w:rPr>
              <w:t>new regime and the more difficult operating environment</w:t>
            </w:r>
            <w:r>
              <w:rPr>
                <w:rFonts w:ascii="Arial" w:hAnsi="Arial" w:cs="Arial"/>
                <w:sz w:val="24"/>
                <w:szCs w:val="24"/>
              </w:rPr>
              <w:t xml:space="preserve"> the Council finds itself in there is no room for complacency.</w:t>
            </w:r>
          </w:p>
        </w:tc>
      </w:tr>
      <w:tr w:rsidR="009C4FAF" w:rsidRPr="009C4FAF" w14:paraId="6587C0B6" w14:textId="77777777" w:rsidTr="001C59F1">
        <w:tc>
          <w:tcPr>
            <w:tcW w:w="550" w:type="dxa"/>
          </w:tcPr>
          <w:p w14:paraId="6B46FCAD" w14:textId="129DD221" w:rsidR="009C4FAF" w:rsidRPr="009C4FAF" w:rsidRDefault="009C4FAF" w:rsidP="009C4FAF">
            <w:pPr>
              <w:rPr>
                <w:rFonts w:ascii="Arial" w:hAnsi="Arial" w:cs="Arial"/>
                <w:sz w:val="24"/>
                <w:szCs w:val="24"/>
              </w:rPr>
            </w:pPr>
          </w:p>
        </w:tc>
        <w:tc>
          <w:tcPr>
            <w:tcW w:w="9940" w:type="dxa"/>
            <w:vAlign w:val="bottom"/>
          </w:tcPr>
          <w:p w14:paraId="1D5874DB" w14:textId="77777777" w:rsidR="009C4FAF" w:rsidRPr="009C4FAF" w:rsidRDefault="009C4FAF" w:rsidP="009C4FAF">
            <w:pPr>
              <w:rPr>
                <w:rFonts w:ascii="Arial" w:hAnsi="Arial" w:cs="Arial"/>
                <w:sz w:val="24"/>
                <w:szCs w:val="24"/>
              </w:rPr>
            </w:pPr>
          </w:p>
        </w:tc>
      </w:tr>
      <w:tr w:rsidR="009C4FAF" w:rsidRPr="009C4FAF" w14:paraId="2E6B2E10" w14:textId="77777777" w:rsidTr="00BF6EAB">
        <w:tc>
          <w:tcPr>
            <w:tcW w:w="550" w:type="dxa"/>
          </w:tcPr>
          <w:p w14:paraId="51C36D5C" w14:textId="27041612" w:rsidR="009C4FAF" w:rsidRPr="00436346" w:rsidRDefault="00436346" w:rsidP="009C4FAF">
            <w:pPr>
              <w:rPr>
                <w:rFonts w:ascii="Arial" w:hAnsi="Arial" w:cs="Arial"/>
                <w:b/>
                <w:sz w:val="24"/>
                <w:szCs w:val="24"/>
              </w:rPr>
            </w:pPr>
            <w:r w:rsidRPr="00436346">
              <w:rPr>
                <w:rFonts w:ascii="Arial" w:hAnsi="Arial" w:cs="Arial"/>
                <w:b/>
                <w:sz w:val="24"/>
                <w:szCs w:val="24"/>
              </w:rPr>
              <w:t>2</w:t>
            </w:r>
            <w:r w:rsidR="003860F2" w:rsidRPr="00436346">
              <w:rPr>
                <w:rFonts w:ascii="Arial" w:hAnsi="Arial" w:cs="Arial"/>
                <w:b/>
                <w:sz w:val="24"/>
                <w:szCs w:val="24"/>
              </w:rPr>
              <w:t>.</w:t>
            </w:r>
          </w:p>
        </w:tc>
        <w:tc>
          <w:tcPr>
            <w:tcW w:w="9940" w:type="dxa"/>
            <w:vAlign w:val="bottom"/>
          </w:tcPr>
          <w:p w14:paraId="51474208" w14:textId="77777777" w:rsidR="009C4FAF" w:rsidRPr="00436346" w:rsidRDefault="003860F2" w:rsidP="009C4FAF">
            <w:pPr>
              <w:rPr>
                <w:rFonts w:ascii="Arial" w:hAnsi="Arial" w:cs="Arial"/>
                <w:b/>
                <w:sz w:val="24"/>
                <w:szCs w:val="24"/>
              </w:rPr>
            </w:pPr>
            <w:r w:rsidRPr="00436346">
              <w:rPr>
                <w:rFonts w:ascii="Arial" w:hAnsi="Arial" w:cs="Arial"/>
                <w:b/>
                <w:sz w:val="24"/>
                <w:szCs w:val="24"/>
              </w:rPr>
              <w:t>Auditing of Best Value – new approach</w:t>
            </w:r>
          </w:p>
          <w:p w14:paraId="35BCFE0E" w14:textId="77777777" w:rsidR="003860F2" w:rsidRPr="00436346" w:rsidRDefault="003860F2" w:rsidP="009C4FAF">
            <w:pPr>
              <w:rPr>
                <w:rFonts w:ascii="Arial" w:hAnsi="Arial" w:cs="Arial"/>
                <w:b/>
                <w:sz w:val="24"/>
                <w:szCs w:val="24"/>
              </w:rPr>
            </w:pPr>
          </w:p>
        </w:tc>
      </w:tr>
      <w:tr w:rsidR="003860F2" w:rsidRPr="009C4FAF" w14:paraId="5FEF8599" w14:textId="77777777" w:rsidTr="00BF6EAB">
        <w:tc>
          <w:tcPr>
            <w:tcW w:w="550" w:type="dxa"/>
          </w:tcPr>
          <w:p w14:paraId="60D2E085" w14:textId="3624BC40" w:rsidR="003860F2" w:rsidRDefault="00436346" w:rsidP="009C4FAF">
            <w:pPr>
              <w:rPr>
                <w:rFonts w:ascii="Arial" w:hAnsi="Arial" w:cs="Arial"/>
                <w:sz w:val="24"/>
                <w:szCs w:val="24"/>
              </w:rPr>
            </w:pPr>
            <w:r>
              <w:rPr>
                <w:rFonts w:ascii="Arial" w:hAnsi="Arial" w:cs="Arial"/>
                <w:sz w:val="24"/>
                <w:szCs w:val="24"/>
              </w:rPr>
              <w:t>2</w:t>
            </w:r>
            <w:r w:rsidR="003860F2">
              <w:rPr>
                <w:rFonts w:ascii="Arial" w:hAnsi="Arial" w:cs="Arial"/>
                <w:sz w:val="24"/>
                <w:szCs w:val="24"/>
              </w:rPr>
              <w:t>.1</w:t>
            </w:r>
          </w:p>
        </w:tc>
        <w:tc>
          <w:tcPr>
            <w:tcW w:w="9940" w:type="dxa"/>
            <w:vAlign w:val="bottom"/>
          </w:tcPr>
          <w:p w14:paraId="14FC3DD0" w14:textId="77777777" w:rsidR="003860F2" w:rsidRDefault="003860F2" w:rsidP="009C4FAF">
            <w:pPr>
              <w:rPr>
                <w:rFonts w:ascii="Arial" w:hAnsi="Arial" w:cs="Arial"/>
                <w:sz w:val="24"/>
                <w:szCs w:val="24"/>
              </w:rPr>
            </w:pPr>
            <w:r>
              <w:rPr>
                <w:rFonts w:ascii="Arial" w:hAnsi="Arial" w:cs="Arial"/>
                <w:sz w:val="24"/>
                <w:szCs w:val="24"/>
              </w:rPr>
              <w:t>Audit Scotland</w:t>
            </w:r>
            <w:r w:rsidR="00112B2E">
              <w:rPr>
                <w:rFonts w:ascii="Arial" w:hAnsi="Arial" w:cs="Arial"/>
                <w:sz w:val="24"/>
                <w:szCs w:val="24"/>
              </w:rPr>
              <w:t xml:space="preserve"> (AS)</w:t>
            </w:r>
            <w:r w:rsidR="00A32B5C">
              <w:rPr>
                <w:rFonts w:ascii="Arial" w:hAnsi="Arial" w:cs="Arial"/>
                <w:sz w:val="24"/>
                <w:szCs w:val="24"/>
              </w:rPr>
              <w:t xml:space="preserve"> </w:t>
            </w:r>
            <w:r>
              <w:rPr>
                <w:rFonts w:ascii="Arial" w:hAnsi="Arial" w:cs="Arial"/>
                <w:sz w:val="24"/>
                <w:szCs w:val="24"/>
              </w:rPr>
              <w:t>is currently reviewing its approach to Best Value</w:t>
            </w:r>
            <w:r w:rsidR="002D1669">
              <w:rPr>
                <w:rFonts w:ascii="Arial" w:hAnsi="Arial" w:cs="Arial"/>
                <w:sz w:val="24"/>
                <w:szCs w:val="24"/>
              </w:rPr>
              <w:t xml:space="preserve"> </w:t>
            </w:r>
            <w:r w:rsidR="00A32B5C">
              <w:rPr>
                <w:rFonts w:ascii="Arial" w:hAnsi="Arial" w:cs="Arial"/>
                <w:sz w:val="24"/>
                <w:szCs w:val="24"/>
              </w:rPr>
              <w:t>Audits</w:t>
            </w:r>
            <w:r>
              <w:rPr>
                <w:rFonts w:ascii="Arial" w:hAnsi="Arial" w:cs="Arial"/>
                <w:sz w:val="24"/>
                <w:szCs w:val="24"/>
              </w:rPr>
              <w:t xml:space="preserve"> and some underpinning issues have been identified </w:t>
            </w:r>
            <w:r w:rsidR="00112B2E">
              <w:rPr>
                <w:rFonts w:ascii="Arial" w:hAnsi="Arial" w:cs="Arial"/>
                <w:sz w:val="24"/>
                <w:szCs w:val="24"/>
              </w:rPr>
              <w:t xml:space="preserve">by AS </w:t>
            </w:r>
            <w:r>
              <w:rPr>
                <w:rFonts w:ascii="Arial" w:hAnsi="Arial" w:cs="Arial"/>
                <w:sz w:val="24"/>
                <w:szCs w:val="24"/>
              </w:rPr>
              <w:t xml:space="preserve">which put some context around the </w:t>
            </w:r>
            <w:r w:rsidR="00A32B5C">
              <w:rPr>
                <w:rFonts w:ascii="Arial" w:hAnsi="Arial" w:cs="Arial"/>
                <w:sz w:val="24"/>
                <w:szCs w:val="24"/>
              </w:rPr>
              <w:t>potential approach</w:t>
            </w:r>
            <w:r>
              <w:rPr>
                <w:rFonts w:ascii="Arial" w:hAnsi="Arial" w:cs="Arial"/>
                <w:sz w:val="24"/>
                <w:szCs w:val="24"/>
              </w:rPr>
              <w:t>:</w:t>
            </w:r>
          </w:p>
          <w:p w14:paraId="2BDC12D4" w14:textId="58E0791A" w:rsidR="003860F2" w:rsidRDefault="003860F2" w:rsidP="003860F2">
            <w:pPr>
              <w:pStyle w:val="ListParagraph"/>
              <w:numPr>
                <w:ilvl w:val="0"/>
                <w:numId w:val="5"/>
              </w:numPr>
              <w:rPr>
                <w:rFonts w:ascii="Arial" w:hAnsi="Arial" w:cs="Arial"/>
                <w:sz w:val="24"/>
                <w:szCs w:val="24"/>
              </w:rPr>
            </w:pPr>
            <w:r>
              <w:rPr>
                <w:rFonts w:ascii="Arial" w:hAnsi="Arial" w:cs="Arial"/>
                <w:sz w:val="24"/>
                <w:szCs w:val="24"/>
              </w:rPr>
              <w:t>14 Councils ha</w:t>
            </w:r>
            <w:r w:rsidR="00D41FA3">
              <w:rPr>
                <w:rFonts w:ascii="Arial" w:hAnsi="Arial" w:cs="Arial"/>
                <w:sz w:val="24"/>
                <w:szCs w:val="24"/>
              </w:rPr>
              <w:t>d</w:t>
            </w:r>
            <w:r>
              <w:rPr>
                <w:rFonts w:ascii="Arial" w:hAnsi="Arial" w:cs="Arial"/>
                <w:sz w:val="24"/>
                <w:szCs w:val="24"/>
              </w:rPr>
              <w:t xml:space="preserve"> not has a BV report in the past five years (applies to HC)</w:t>
            </w:r>
            <w:r w:rsidR="0049359D">
              <w:rPr>
                <w:rFonts w:ascii="Arial" w:hAnsi="Arial" w:cs="Arial"/>
                <w:sz w:val="24"/>
                <w:szCs w:val="24"/>
              </w:rPr>
              <w:t>;</w:t>
            </w:r>
          </w:p>
          <w:p w14:paraId="34CB26AF" w14:textId="77777777" w:rsidR="003860F2" w:rsidRDefault="003860F2" w:rsidP="003860F2">
            <w:pPr>
              <w:pStyle w:val="ListParagraph"/>
              <w:numPr>
                <w:ilvl w:val="0"/>
                <w:numId w:val="5"/>
              </w:numPr>
              <w:rPr>
                <w:rFonts w:ascii="Arial" w:hAnsi="Arial" w:cs="Arial"/>
                <w:sz w:val="24"/>
                <w:szCs w:val="24"/>
              </w:rPr>
            </w:pPr>
            <w:r>
              <w:rPr>
                <w:rFonts w:ascii="Arial" w:hAnsi="Arial" w:cs="Arial"/>
                <w:sz w:val="24"/>
                <w:szCs w:val="24"/>
              </w:rPr>
              <w:t>15 current Chief Executive have not had a BV audit (applies to HC)</w:t>
            </w:r>
            <w:r w:rsidR="0049359D">
              <w:rPr>
                <w:rFonts w:ascii="Arial" w:hAnsi="Arial" w:cs="Arial"/>
                <w:sz w:val="24"/>
                <w:szCs w:val="24"/>
              </w:rPr>
              <w:t>;</w:t>
            </w:r>
          </w:p>
          <w:p w14:paraId="7097CEFA" w14:textId="77777777" w:rsidR="00112B2E" w:rsidRDefault="00112B2E" w:rsidP="003860F2">
            <w:pPr>
              <w:pStyle w:val="ListParagraph"/>
              <w:numPr>
                <w:ilvl w:val="0"/>
                <w:numId w:val="5"/>
              </w:numPr>
              <w:rPr>
                <w:rFonts w:ascii="Arial" w:hAnsi="Arial" w:cs="Arial"/>
                <w:sz w:val="24"/>
                <w:szCs w:val="24"/>
              </w:rPr>
            </w:pPr>
            <w:r>
              <w:rPr>
                <w:rFonts w:ascii="Arial" w:hAnsi="Arial" w:cs="Arial"/>
                <w:sz w:val="24"/>
                <w:szCs w:val="24"/>
              </w:rPr>
              <w:t>Concern there is a perception a BV indicates a poor or failing Council</w:t>
            </w:r>
            <w:r w:rsidR="0049359D">
              <w:rPr>
                <w:rFonts w:ascii="Arial" w:hAnsi="Arial" w:cs="Arial"/>
                <w:sz w:val="24"/>
                <w:szCs w:val="24"/>
              </w:rPr>
              <w:t>;</w:t>
            </w:r>
          </w:p>
          <w:p w14:paraId="0AEC50FF" w14:textId="77777777" w:rsidR="00112B2E" w:rsidRDefault="00112B2E" w:rsidP="003860F2">
            <w:pPr>
              <w:pStyle w:val="ListParagraph"/>
              <w:numPr>
                <w:ilvl w:val="0"/>
                <w:numId w:val="5"/>
              </w:numPr>
              <w:rPr>
                <w:rFonts w:ascii="Arial" w:hAnsi="Arial" w:cs="Arial"/>
                <w:sz w:val="24"/>
                <w:szCs w:val="24"/>
              </w:rPr>
            </w:pPr>
            <w:r>
              <w:rPr>
                <w:rFonts w:ascii="Arial" w:hAnsi="Arial" w:cs="Arial"/>
                <w:sz w:val="24"/>
                <w:szCs w:val="24"/>
              </w:rPr>
              <w:t>Concern Councils are coasting</w:t>
            </w:r>
            <w:r w:rsidR="0049359D">
              <w:rPr>
                <w:rFonts w:ascii="Arial" w:hAnsi="Arial" w:cs="Arial"/>
                <w:sz w:val="24"/>
                <w:szCs w:val="24"/>
              </w:rPr>
              <w:t>;</w:t>
            </w:r>
          </w:p>
          <w:p w14:paraId="26EC0A00" w14:textId="77777777" w:rsidR="00112B2E" w:rsidRDefault="00112B2E" w:rsidP="003860F2">
            <w:pPr>
              <w:pStyle w:val="ListParagraph"/>
              <w:numPr>
                <w:ilvl w:val="0"/>
                <w:numId w:val="5"/>
              </w:numPr>
              <w:rPr>
                <w:rFonts w:ascii="Arial" w:hAnsi="Arial" w:cs="Arial"/>
                <w:sz w:val="24"/>
                <w:szCs w:val="24"/>
              </w:rPr>
            </w:pPr>
            <w:r>
              <w:rPr>
                <w:rFonts w:ascii="Arial" w:hAnsi="Arial" w:cs="Arial"/>
                <w:sz w:val="24"/>
                <w:szCs w:val="24"/>
              </w:rPr>
              <w:t>Identified a need for more frequent assurance</w:t>
            </w:r>
            <w:r w:rsidR="0049359D">
              <w:rPr>
                <w:rFonts w:ascii="Arial" w:hAnsi="Arial" w:cs="Arial"/>
                <w:sz w:val="24"/>
                <w:szCs w:val="24"/>
              </w:rPr>
              <w:t>;</w:t>
            </w:r>
          </w:p>
          <w:p w14:paraId="484860CA" w14:textId="77777777" w:rsidR="00112B2E" w:rsidRDefault="00112B2E" w:rsidP="003860F2">
            <w:pPr>
              <w:pStyle w:val="ListParagraph"/>
              <w:numPr>
                <w:ilvl w:val="0"/>
                <w:numId w:val="5"/>
              </w:numPr>
              <w:rPr>
                <w:rFonts w:ascii="Arial" w:hAnsi="Arial" w:cs="Arial"/>
                <w:sz w:val="24"/>
                <w:szCs w:val="24"/>
              </w:rPr>
            </w:pPr>
            <w:r>
              <w:rPr>
                <w:rFonts w:ascii="Arial" w:hAnsi="Arial" w:cs="Arial"/>
                <w:sz w:val="24"/>
                <w:szCs w:val="24"/>
              </w:rPr>
              <w:t>Need for greater focus on impact of BV arrangements and on improvement</w:t>
            </w:r>
            <w:r w:rsidR="0049359D">
              <w:rPr>
                <w:rFonts w:ascii="Arial" w:hAnsi="Arial" w:cs="Arial"/>
                <w:sz w:val="24"/>
                <w:szCs w:val="24"/>
              </w:rPr>
              <w:t>;</w:t>
            </w:r>
          </w:p>
          <w:p w14:paraId="1BB60777" w14:textId="34859947" w:rsidR="00112B2E" w:rsidRDefault="00112B2E" w:rsidP="003860F2">
            <w:pPr>
              <w:pStyle w:val="ListParagraph"/>
              <w:numPr>
                <w:ilvl w:val="0"/>
                <w:numId w:val="5"/>
              </w:numPr>
              <w:rPr>
                <w:rFonts w:ascii="Arial" w:hAnsi="Arial" w:cs="Arial"/>
                <w:sz w:val="24"/>
                <w:szCs w:val="24"/>
              </w:rPr>
            </w:pPr>
            <w:r>
              <w:rPr>
                <w:rFonts w:ascii="Arial" w:hAnsi="Arial" w:cs="Arial"/>
                <w:sz w:val="24"/>
                <w:szCs w:val="24"/>
              </w:rPr>
              <w:t>Consider the potential of bringing L</w:t>
            </w:r>
            <w:r w:rsidR="00436346">
              <w:rPr>
                <w:rFonts w:ascii="Arial" w:hAnsi="Arial" w:cs="Arial"/>
                <w:sz w:val="24"/>
                <w:szCs w:val="24"/>
              </w:rPr>
              <w:t xml:space="preserve">ocal </w:t>
            </w:r>
            <w:r>
              <w:rPr>
                <w:rFonts w:ascii="Arial" w:hAnsi="Arial" w:cs="Arial"/>
                <w:sz w:val="24"/>
                <w:szCs w:val="24"/>
              </w:rPr>
              <w:t>G</w:t>
            </w:r>
            <w:r w:rsidR="00436346">
              <w:rPr>
                <w:rFonts w:ascii="Arial" w:hAnsi="Arial" w:cs="Arial"/>
                <w:sz w:val="24"/>
                <w:szCs w:val="24"/>
              </w:rPr>
              <w:t>overnment audit work together to provide a</w:t>
            </w:r>
            <w:r>
              <w:rPr>
                <w:rFonts w:ascii="Arial" w:hAnsi="Arial" w:cs="Arial"/>
                <w:sz w:val="24"/>
                <w:szCs w:val="24"/>
              </w:rPr>
              <w:t xml:space="preserve"> more collective views and judgements.</w:t>
            </w:r>
          </w:p>
          <w:p w14:paraId="31493127" w14:textId="77777777" w:rsidR="00112B2E" w:rsidRPr="003860F2" w:rsidRDefault="00112B2E" w:rsidP="00112B2E">
            <w:pPr>
              <w:pStyle w:val="ListParagraph"/>
              <w:rPr>
                <w:rFonts w:ascii="Arial" w:hAnsi="Arial" w:cs="Arial"/>
                <w:sz w:val="24"/>
                <w:szCs w:val="24"/>
              </w:rPr>
            </w:pPr>
          </w:p>
        </w:tc>
      </w:tr>
      <w:tr w:rsidR="00112B2E" w:rsidRPr="009C4FAF" w14:paraId="49D561EF" w14:textId="77777777" w:rsidTr="00BF6EAB">
        <w:tc>
          <w:tcPr>
            <w:tcW w:w="550" w:type="dxa"/>
          </w:tcPr>
          <w:p w14:paraId="02E53606" w14:textId="4F351F5F" w:rsidR="00112B2E" w:rsidRDefault="00436346" w:rsidP="009C4FAF">
            <w:pPr>
              <w:rPr>
                <w:rFonts w:ascii="Arial" w:hAnsi="Arial" w:cs="Arial"/>
                <w:sz w:val="24"/>
                <w:szCs w:val="24"/>
              </w:rPr>
            </w:pPr>
            <w:r>
              <w:rPr>
                <w:rFonts w:ascii="Arial" w:hAnsi="Arial" w:cs="Arial"/>
                <w:sz w:val="24"/>
                <w:szCs w:val="24"/>
              </w:rPr>
              <w:t>2</w:t>
            </w:r>
            <w:r w:rsidR="00112B2E">
              <w:rPr>
                <w:rFonts w:ascii="Arial" w:hAnsi="Arial" w:cs="Arial"/>
                <w:sz w:val="24"/>
                <w:szCs w:val="24"/>
              </w:rPr>
              <w:t>.2</w:t>
            </w:r>
          </w:p>
        </w:tc>
        <w:tc>
          <w:tcPr>
            <w:tcW w:w="9940" w:type="dxa"/>
            <w:vAlign w:val="bottom"/>
          </w:tcPr>
          <w:p w14:paraId="2E5625D3" w14:textId="77777777" w:rsidR="00112B2E" w:rsidRDefault="00112B2E" w:rsidP="009C4FAF">
            <w:pPr>
              <w:rPr>
                <w:rFonts w:ascii="Arial" w:hAnsi="Arial" w:cs="Arial"/>
                <w:sz w:val="24"/>
                <w:szCs w:val="24"/>
              </w:rPr>
            </w:pPr>
            <w:r>
              <w:rPr>
                <w:rFonts w:ascii="Arial" w:hAnsi="Arial" w:cs="Arial"/>
                <w:sz w:val="24"/>
                <w:szCs w:val="24"/>
              </w:rPr>
              <w:t xml:space="preserve">While guidance is under development internally within AS </w:t>
            </w:r>
            <w:r w:rsidR="007F41CD">
              <w:rPr>
                <w:rFonts w:ascii="Arial" w:hAnsi="Arial" w:cs="Arial"/>
                <w:sz w:val="24"/>
                <w:szCs w:val="24"/>
              </w:rPr>
              <w:t xml:space="preserve">some </w:t>
            </w:r>
            <w:r>
              <w:rPr>
                <w:rFonts w:ascii="Arial" w:hAnsi="Arial" w:cs="Arial"/>
                <w:sz w:val="24"/>
                <w:szCs w:val="24"/>
              </w:rPr>
              <w:t>key principles are taking shape</w:t>
            </w:r>
            <w:r w:rsidR="007F41CD">
              <w:rPr>
                <w:rFonts w:ascii="Arial" w:hAnsi="Arial" w:cs="Arial"/>
                <w:sz w:val="24"/>
                <w:szCs w:val="24"/>
              </w:rPr>
              <w:t>:</w:t>
            </w:r>
          </w:p>
          <w:p w14:paraId="39F5D87C" w14:textId="77777777" w:rsidR="00112B2E" w:rsidRDefault="00112B2E" w:rsidP="00112B2E">
            <w:pPr>
              <w:pStyle w:val="ListParagraph"/>
              <w:numPr>
                <w:ilvl w:val="0"/>
                <w:numId w:val="6"/>
              </w:numPr>
              <w:rPr>
                <w:rFonts w:ascii="Arial" w:hAnsi="Arial" w:cs="Arial"/>
                <w:sz w:val="24"/>
                <w:szCs w:val="24"/>
              </w:rPr>
            </w:pPr>
            <w:r>
              <w:rPr>
                <w:rFonts w:ascii="Arial" w:hAnsi="Arial" w:cs="Arial"/>
                <w:sz w:val="24"/>
                <w:szCs w:val="24"/>
              </w:rPr>
              <w:t>BV remains critically important b</w:t>
            </w:r>
            <w:r w:rsidR="003B4056">
              <w:rPr>
                <w:rFonts w:ascii="Arial" w:hAnsi="Arial" w:cs="Arial"/>
                <w:sz w:val="24"/>
                <w:szCs w:val="24"/>
              </w:rPr>
              <w:t>ut</w:t>
            </w:r>
            <w:r>
              <w:rPr>
                <w:rFonts w:ascii="Arial" w:hAnsi="Arial" w:cs="Arial"/>
                <w:sz w:val="24"/>
                <w:szCs w:val="24"/>
              </w:rPr>
              <w:t xml:space="preserve"> guidance needs strengthened and refreshed</w:t>
            </w:r>
            <w:r w:rsidR="0049359D">
              <w:rPr>
                <w:rFonts w:ascii="Arial" w:hAnsi="Arial" w:cs="Arial"/>
                <w:sz w:val="24"/>
                <w:szCs w:val="24"/>
              </w:rPr>
              <w:t>;</w:t>
            </w:r>
          </w:p>
          <w:p w14:paraId="277EECCF" w14:textId="77777777" w:rsidR="00112B2E" w:rsidRDefault="00112B2E" w:rsidP="00112B2E">
            <w:pPr>
              <w:pStyle w:val="ListParagraph"/>
              <w:numPr>
                <w:ilvl w:val="0"/>
                <w:numId w:val="6"/>
              </w:numPr>
              <w:rPr>
                <w:rFonts w:ascii="Arial" w:hAnsi="Arial" w:cs="Arial"/>
                <w:sz w:val="24"/>
                <w:szCs w:val="24"/>
              </w:rPr>
            </w:pPr>
            <w:r>
              <w:rPr>
                <w:rFonts w:ascii="Arial" w:hAnsi="Arial" w:cs="Arial"/>
                <w:sz w:val="24"/>
                <w:szCs w:val="24"/>
              </w:rPr>
              <w:t>Pace, depth and continuity of improvement needs to increase in local government and driving this core of BV audit process</w:t>
            </w:r>
            <w:r w:rsidR="0049359D">
              <w:rPr>
                <w:rFonts w:ascii="Arial" w:hAnsi="Arial" w:cs="Arial"/>
                <w:sz w:val="24"/>
                <w:szCs w:val="24"/>
              </w:rPr>
              <w:t>;</w:t>
            </w:r>
          </w:p>
          <w:p w14:paraId="4B4F79EB" w14:textId="77777777" w:rsidR="00112B2E" w:rsidRDefault="00112B2E" w:rsidP="00112B2E">
            <w:pPr>
              <w:pStyle w:val="ListParagraph"/>
              <w:numPr>
                <w:ilvl w:val="0"/>
                <w:numId w:val="6"/>
              </w:numPr>
              <w:rPr>
                <w:rFonts w:ascii="Arial" w:hAnsi="Arial" w:cs="Arial"/>
                <w:sz w:val="24"/>
                <w:szCs w:val="24"/>
              </w:rPr>
            </w:pPr>
            <w:r>
              <w:rPr>
                <w:rFonts w:ascii="Arial" w:hAnsi="Arial" w:cs="Arial"/>
                <w:sz w:val="24"/>
                <w:szCs w:val="24"/>
              </w:rPr>
              <w:t>Continue</w:t>
            </w:r>
            <w:r w:rsidR="0049359D">
              <w:rPr>
                <w:rFonts w:ascii="Arial" w:hAnsi="Arial" w:cs="Arial"/>
                <w:sz w:val="24"/>
                <w:szCs w:val="24"/>
              </w:rPr>
              <w:t>d</w:t>
            </w:r>
            <w:r>
              <w:rPr>
                <w:rFonts w:ascii="Arial" w:hAnsi="Arial" w:cs="Arial"/>
                <w:sz w:val="24"/>
                <w:szCs w:val="24"/>
              </w:rPr>
              <w:t xml:space="preserve"> proportionate and risk bases approach but more frequent assurance on BV across </w:t>
            </w:r>
            <w:r w:rsidR="0049359D">
              <w:rPr>
                <w:rFonts w:ascii="Arial" w:hAnsi="Arial" w:cs="Arial"/>
                <w:sz w:val="24"/>
                <w:szCs w:val="24"/>
              </w:rPr>
              <w:t xml:space="preserve">all </w:t>
            </w:r>
            <w:r>
              <w:rPr>
                <w:rFonts w:ascii="Arial" w:hAnsi="Arial" w:cs="Arial"/>
                <w:sz w:val="24"/>
                <w:szCs w:val="24"/>
              </w:rPr>
              <w:t>32 Councils</w:t>
            </w:r>
            <w:r w:rsidR="0049359D">
              <w:rPr>
                <w:rFonts w:ascii="Arial" w:hAnsi="Arial" w:cs="Arial"/>
                <w:sz w:val="24"/>
                <w:szCs w:val="24"/>
              </w:rPr>
              <w:t>;</w:t>
            </w:r>
          </w:p>
          <w:p w14:paraId="43051978" w14:textId="77777777" w:rsidR="00112B2E" w:rsidRDefault="00112B2E" w:rsidP="00112B2E">
            <w:pPr>
              <w:pStyle w:val="ListParagraph"/>
              <w:numPr>
                <w:ilvl w:val="0"/>
                <w:numId w:val="6"/>
              </w:numPr>
              <w:rPr>
                <w:rFonts w:ascii="Arial" w:hAnsi="Arial" w:cs="Arial"/>
                <w:sz w:val="24"/>
                <w:szCs w:val="24"/>
              </w:rPr>
            </w:pPr>
            <w:r>
              <w:rPr>
                <w:rFonts w:ascii="Arial" w:hAnsi="Arial" w:cs="Arial"/>
                <w:sz w:val="24"/>
                <w:szCs w:val="24"/>
              </w:rPr>
              <w:t>Better experience for Councils through more integration of processes and responsibilities</w:t>
            </w:r>
            <w:r w:rsidR="0049359D">
              <w:rPr>
                <w:rFonts w:ascii="Arial" w:hAnsi="Arial" w:cs="Arial"/>
                <w:sz w:val="24"/>
                <w:szCs w:val="24"/>
              </w:rPr>
              <w:t>;</w:t>
            </w:r>
          </w:p>
          <w:p w14:paraId="35AED60E" w14:textId="77777777" w:rsidR="00112B2E" w:rsidRDefault="00112B2E" w:rsidP="00112B2E">
            <w:pPr>
              <w:pStyle w:val="ListParagraph"/>
              <w:numPr>
                <w:ilvl w:val="0"/>
                <w:numId w:val="6"/>
              </w:numPr>
              <w:rPr>
                <w:rFonts w:ascii="Arial" w:hAnsi="Arial" w:cs="Arial"/>
                <w:sz w:val="24"/>
                <w:szCs w:val="24"/>
              </w:rPr>
            </w:pPr>
            <w:r>
              <w:rPr>
                <w:rFonts w:ascii="Arial" w:hAnsi="Arial" w:cs="Arial"/>
                <w:sz w:val="24"/>
                <w:szCs w:val="24"/>
              </w:rPr>
              <w:t xml:space="preserve">Strong focus on quality of service experienced by the public and outcomes achieved </w:t>
            </w:r>
            <w:r>
              <w:rPr>
                <w:rFonts w:ascii="Arial" w:hAnsi="Arial" w:cs="Arial"/>
                <w:sz w:val="24"/>
                <w:szCs w:val="24"/>
              </w:rPr>
              <w:lastRenderedPageBreak/>
              <w:t>for communities</w:t>
            </w:r>
            <w:r w:rsidR="00BB11CD">
              <w:rPr>
                <w:rFonts w:ascii="Arial" w:hAnsi="Arial" w:cs="Arial"/>
                <w:sz w:val="24"/>
                <w:szCs w:val="24"/>
              </w:rPr>
              <w:t xml:space="preserve"> including demonstrating contributions to partnership working</w:t>
            </w:r>
            <w:r w:rsidR="0049359D">
              <w:rPr>
                <w:rFonts w:ascii="Arial" w:hAnsi="Arial" w:cs="Arial"/>
                <w:sz w:val="24"/>
                <w:szCs w:val="24"/>
              </w:rPr>
              <w:t>;</w:t>
            </w:r>
          </w:p>
          <w:p w14:paraId="0F56992D" w14:textId="77777777" w:rsidR="00112B2E" w:rsidRDefault="00112B2E" w:rsidP="00112B2E">
            <w:pPr>
              <w:pStyle w:val="ListParagraph"/>
              <w:numPr>
                <w:ilvl w:val="0"/>
                <w:numId w:val="6"/>
              </w:numPr>
              <w:rPr>
                <w:rFonts w:ascii="Arial" w:hAnsi="Arial" w:cs="Arial"/>
                <w:sz w:val="24"/>
                <w:szCs w:val="24"/>
              </w:rPr>
            </w:pPr>
            <w:r>
              <w:rPr>
                <w:rFonts w:ascii="Arial" w:hAnsi="Arial" w:cs="Arial"/>
                <w:sz w:val="24"/>
                <w:szCs w:val="24"/>
              </w:rPr>
              <w:t xml:space="preserve">Clear focus on improvement and </w:t>
            </w:r>
            <w:r w:rsidR="0049359D">
              <w:rPr>
                <w:rFonts w:ascii="Arial" w:hAnsi="Arial" w:cs="Arial"/>
                <w:sz w:val="24"/>
                <w:szCs w:val="24"/>
              </w:rPr>
              <w:t xml:space="preserve">the </w:t>
            </w:r>
            <w:r>
              <w:rPr>
                <w:rFonts w:ascii="Arial" w:hAnsi="Arial" w:cs="Arial"/>
                <w:sz w:val="24"/>
                <w:szCs w:val="24"/>
              </w:rPr>
              <w:t>outcomes Council’s achieve as a result of arrangement to secure BV and not on the arrangements themselves</w:t>
            </w:r>
            <w:r w:rsidR="0049359D">
              <w:rPr>
                <w:rFonts w:ascii="Arial" w:hAnsi="Arial" w:cs="Arial"/>
                <w:sz w:val="24"/>
                <w:szCs w:val="24"/>
              </w:rPr>
              <w:t>;</w:t>
            </w:r>
          </w:p>
          <w:p w14:paraId="083F0EC5" w14:textId="77777777" w:rsidR="00112B2E" w:rsidRDefault="00112B2E" w:rsidP="00112B2E">
            <w:pPr>
              <w:pStyle w:val="ListParagraph"/>
              <w:numPr>
                <w:ilvl w:val="0"/>
                <w:numId w:val="6"/>
              </w:numPr>
              <w:rPr>
                <w:rFonts w:ascii="Arial" w:hAnsi="Arial" w:cs="Arial"/>
                <w:sz w:val="24"/>
                <w:szCs w:val="24"/>
              </w:rPr>
            </w:pPr>
            <w:r>
              <w:rPr>
                <w:rFonts w:ascii="Arial" w:hAnsi="Arial" w:cs="Arial"/>
                <w:sz w:val="24"/>
                <w:szCs w:val="24"/>
              </w:rPr>
              <w:t xml:space="preserve">More regular engagement between auditors and Councils to discuss progress, risks and </w:t>
            </w:r>
            <w:r w:rsidR="0049359D">
              <w:rPr>
                <w:rFonts w:ascii="Arial" w:hAnsi="Arial" w:cs="Arial"/>
                <w:sz w:val="24"/>
                <w:szCs w:val="24"/>
              </w:rPr>
              <w:t>challenges</w:t>
            </w:r>
            <w:r w:rsidR="003B4056">
              <w:rPr>
                <w:rFonts w:ascii="Arial" w:hAnsi="Arial" w:cs="Arial"/>
                <w:sz w:val="24"/>
                <w:szCs w:val="24"/>
              </w:rPr>
              <w:t>. L</w:t>
            </w:r>
            <w:r w:rsidR="0049359D">
              <w:rPr>
                <w:rFonts w:ascii="Arial" w:hAnsi="Arial" w:cs="Arial"/>
                <w:sz w:val="24"/>
                <w:szCs w:val="24"/>
              </w:rPr>
              <w:t xml:space="preserve">inking this to </w:t>
            </w:r>
            <w:r w:rsidR="003B4056">
              <w:rPr>
                <w:rFonts w:ascii="Arial" w:hAnsi="Arial" w:cs="Arial"/>
                <w:sz w:val="24"/>
                <w:szCs w:val="24"/>
              </w:rPr>
              <w:t xml:space="preserve">existing </w:t>
            </w:r>
            <w:r w:rsidR="0049359D">
              <w:rPr>
                <w:rFonts w:ascii="Arial" w:hAnsi="Arial" w:cs="Arial"/>
                <w:sz w:val="24"/>
                <w:szCs w:val="24"/>
              </w:rPr>
              <w:t xml:space="preserve">risk </w:t>
            </w:r>
            <w:r w:rsidR="003B4056">
              <w:rPr>
                <w:rFonts w:ascii="Arial" w:hAnsi="Arial" w:cs="Arial"/>
                <w:sz w:val="24"/>
                <w:szCs w:val="24"/>
              </w:rPr>
              <w:t xml:space="preserve">and audit </w:t>
            </w:r>
            <w:r w:rsidR="0049359D">
              <w:rPr>
                <w:rFonts w:ascii="Arial" w:hAnsi="Arial" w:cs="Arial"/>
                <w:sz w:val="24"/>
                <w:szCs w:val="24"/>
              </w:rPr>
              <w:t>assessment</w:t>
            </w:r>
            <w:r w:rsidR="003B4056">
              <w:rPr>
                <w:rFonts w:ascii="Arial" w:hAnsi="Arial" w:cs="Arial"/>
                <w:sz w:val="24"/>
                <w:szCs w:val="24"/>
              </w:rPr>
              <w:t>s</w:t>
            </w:r>
            <w:r w:rsidR="0049359D">
              <w:rPr>
                <w:rFonts w:ascii="Arial" w:hAnsi="Arial" w:cs="Arial"/>
                <w:sz w:val="24"/>
                <w:szCs w:val="24"/>
              </w:rPr>
              <w:t xml:space="preserve"> which determine local audit plans and timing</w:t>
            </w:r>
            <w:r w:rsidR="003B4056">
              <w:rPr>
                <w:rFonts w:ascii="Arial" w:hAnsi="Arial" w:cs="Arial"/>
                <w:sz w:val="24"/>
                <w:szCs w:val="24"/>
              </w:rPr>
              <w:t>, potential for elements of continuous assessment</w:t>
            </w:r>
            <w:r w:rsidR="0049359D">
              <w:rPr>
                <w:rFonts w:ascii="Arial" w:hAnsi="Arial" w:cs="Arial"/>
                <w:sz w:val="24"/>
                <w:szCs w:val="24"/>
              </w:rPr>
              <w:t>;</w:t>
            </w:r>
          </w:p>
          <w:p w14:paraId="7626509D" w14:textId="77777777" w:rsidR="0049359D" w:rsidRDefault="0049359D" w:rsidP="00112B2E">
            <w:pPr>
              <w:pStyle w:val="ListParagraph"/>
              <w:numPr>
                <w:ilvl w:val="0"/>
                <w:numId w:val="6"/>
              </w:numPr>
              <w:rPr>
                <w:rFonts w:ascii="Arial" w:hAnsi="Arial" w:cs="Arial"/>
                <w:sz w:val="24"/>
                <w:szCs w:val="24"/>
              </w:rPr>
            </w:pPr>
            <w:r>
              <w:rPr>
                <w:rFonts w:ascii="Arial" w:hAnsi="Arial" w:cs="Arial"/>
                <w:sz w:val="24"/>
                <w:szCs w:val="24"/>
              </w:rPr>
              <w:t xml:space="preserve">Expectation Councils will have clear improvement plans that are informed by effective performance management and service reviews, progress </w:t>
            </w:r>
            <w:r w:rsidR="00A667B7">
              <w:rPr>
                <w:rFonts w:ascii="Arial" w:hAnsi="Arial" w:cs="Arial"/>
                <w:sz w:val="24"/>
                <w:szCs w:val="24"/>
              </w:rPr>
              <w:t xml:space="preserve">is </w:t>
            </w:r>
            <w:r>
              <w:rPr>
                <w:rFonts w:ascii="Arial" w:hAnsi="Arial" w:cs="Arial"/>
                <w:sz w:val="24"/>
                <w:szCs w:val="24"/>
              </w:rPr>
              <w:t>accurately monitored and reported;</w:t>
            </w:r>
          </w:p>
          <w:p w14:paraId="62B13489" w14:textId="77777777" w:rsidR="00436346" w:rsidRDefault="0049359D" w:rsidP="00027223">
            <w:pPr>
              <w:pStyle w:val="ListParagraph"/>
              <w:numPr>
                <w:ilvl w:val="0"/>
                <w:numId w:val="6"/>
              </w:numPr>
              <w:rPr>
                <w:rFonts w:ascii="Arial" w:hAnsi="Arial" w:cs="Arial"/>
                <w:sz w:val="24"/>
                <w:szCs w:val="24"/>
              </w:rPr>
            </w:pPr>
            <w:r>
              <w:rPr>
                <w:rFonts w:ascii="Arial" w:hAnsi="Arial" w:cs="Arial"/>
                <w:sz w:val="24"/>
                <w:szCs w:val="24"/>
              </w:rPr>
              <w:t>New audit appointments starting in 2016/17 (</w:t>
            </w:r>
            <w:r w:rsidR="00A667B7">
              <w:rPr>
                <w:rFonts w:ascii="Arial" w:hAnsi="Arial" w:cs="Arial"/>
                <w:sz w:val="24"/>
                <w:szCs w:val="24"/>
              </w:rPr>
              <w:t>new HC Auditors Grant Thornton)</w:t>
            </w:r>
            <w:r w:rsidR="00C057C0">
              <w:rPr>
                <w:rFonts w:ascii="Arial" w:hAnsi="Arial" w:cs="Arial"/>
                <w:sz w:val="24"/>
                <w:szCs w:val="24"/>
              </w:rPr>
              <w:t xml:space="preserve"> and BV reporting will be over the 5 year cycle of </w:t>
            </w:r>
            <w:r w:rsidR="004658F2">
              <w:rPr>
                <w:rFonts w:ascii="Arial" w:hAnsi="Arial" w:cs="Arial"/>
                <w:sz w:val="24"/>
                <w:szCs w:val="24"/>
              </w:rPr>
              <w:t xml:space="preserve">the </w:t>
            </w:r>
            <w:r w:rsidR="00C057C0">
              <w:rPr>
                <w:rFonts w:ascii="Arial" w:hAnsi="Arial" w:cs="Arial"/>
                <w:sz w:val="24"/>
                <w:szCs w:val="24"/>
              </w:rPr>
              <w:t>external audit</w:t>
            </w:r>
            <w:r w:rsidR="006367DA">
              <w:rPr>
                <w:rFonts w:ascii="Arial" w:hAnsi="Arial" w:cs="Arial"/>
                <w:sz w:val="24"/>
                <w:szCs w:val="24"/>
              </w:rPr>
              <w:t xml:space="preserve"> appointment</w:t>
            </w:r>
            <w:r>
              <w:rPr>
                <w:rFonts w:ascii="Arial" w:hAnsi="Arial" w:cs="Arial"/>
                <w:sz w:val="24"/>
                <w:szCs w:val="24"/>
              </w:rPr>
              <w:t>;</w:t>
            </w:r>
          </w:p>
          <w:p w14:paraId="5909036D" w14:textId="1A51EF49" w:rsidR="001F452C" w:rsidRPr="00100E20" w:rsidRDefault="001F452C" w:rsidP="001F452C">
            <w:pPr>
              <w:pStyle w:val="ListParagraph"/>
              <w:rPr>
                <w:rFonts w:ascii="Arial" w:hAnsi="Arial" w:cs="Arial"/>
                <w:sz w:val="24"/>
                <w:szCs w:val="24"/>
              </w:rPr>
            </w:pPr>
          </w:p>
        </w:tc>
      </w:tr>
      <w:tr w:rsidR="00AE25CE" w:rsidRPr="009C4FAF" w14:paraId="311EEE9C" w14:textId="77777777" w:rsidTr="00BF6EAB">
        <w:tc>
          <w:tcPr>
            <w:tcW w:w="550" w:type="dxa"/>
          </w:tcPr>
          <w:p w14:paraId="0E6EED72" w14:textId="5350F12C" w:rsidR="00AE25CE" w:rsidRPr="00027223" w:rsidRDefault="00436346" w:rsidP="005C5767">
            <w:pPr>
              <w:rPr>
                <w:rFonts w:ascii="Arial" w:hAnsi="Arial" w:cs="Arial"/>
                <w:b/>
                <w:sz w:val="24"/>
                <w:szCs w:val="24"/>
              </w:rPr>
            </w:pPr>
            <w:r w:rsidRPr="00436346">
              <w:rPr>
                <w:rFonts w:ascii="Arial" w:hAnsi="Arial" w:cs="Arial"/>
                <w:b/>
                <w:sz w:val="24"/>
                <w:szCs w:val="24"/>
              </w:rPr>
              <w:lastRenderedPageBreak/>
              <w:t>3.</w:t>
            </w:r>
          </w:p>
          <w:p w14:paraId="38C548C9" w14:textId="77777777" w:rsidR="00027223" w:rsidRDefault="00027223" w:rsidP="005C5767">
            <w:pPr>
              <w:rPr>
                <w:rFonts w:ascii="Arial" w:hAnsi="Arial" w:cs="Arial"/>
                <w:sz w:val="24"/>
                <w:szCs w:val="24"/>
              </w:rPr>
            </w:pPr>
          </w:p>
          <w:p w14:paraId="5097F79E" w14:textId="0F18089E" w:rsidR="00AE25CE" w:rsidRDefault="00436346" w:rsidP="005C5767">
            <w:pPr>
              <w:rPr>
                <w:rFonts w:ascii="Arial" w:hAnsi="Arial" w:cs="Arial"/>
                <w:sz w:val="24"/>
                <w:szCs w:val="24"/>
              </w:rPr>
            </w:pPr>
            <w:r>
              <w:rPr>
                <w:rFonts w:ascii="Arial" w:hAnsi="Arial" w:cs="Arial"/>
                <w:sz w:val="24"/>
                <w:szCs w:val="24"/>
              </w:rPr>
              <w:t>3</w:t>
            </w:r>
            <w:r w:rsidR="00AE25CE">
              <w:rPr>
                <w:rFonts w:ascii="Arial" w:hAnsi="Arial" w:cs="Arial"/>
                <w:sz w:val="24"/>
                <w:szCs w:val="24"/>
              </w:rPr>
              <w:t>.1</w:t>
            </w:r>
          </w:p>
          <w:p w14:paraId="21898E6B" w14:textId="06203469" w:rsidR="00027223" w:rsidRDefault="00027223" w:rsidP="005C5767">
            <w:pPr>
              <w:rPr>
                <w:rFonts w:ascii="Arial" w:hAnsi="Arial" w:cs="Arial"/>
                <w:sz w:val="24"/>
                <w:szCs w:val="24"/>
              </w:rPr>
            </w:pPr>
          </w:p>
          <w:p w14:paraId="07594106" w14:textId="77777777" w:rsidR="00027223" w:rsidRDefault="00027223" w:rsidP="005C5767">
            <w:pPr>
              <w:rPr>
                <w:rFonts w:ascii="Arial" w:hAnsi="Arial" w:cs="Arial"/>
                <w:sz w:val="24"/>
                <w:szCs w:val="24"/>
              </w:rPr>
            </w:pPr>
          </w:p>
          <w:p w14:paraId="710353FE" w14:textId="77777777" w:rsidR="00AE25CE" w:rsidRDefault="00AE25CE" w:rsidP="005C5767">
            <w:pPr>
              <w:rPr>
                <w:rFonts w:ascii="Arial" w:hAnsi="Arial" w:cs="Arial"/>
                <w:sz w:val="24"/>
                <w:szCs w:val="24"/>
              </w:rPr>
            </w:pPr>
          </w:p>
          <w:p w14:paraId="27BA312F" w14:textId="77777777" w:rsidR="00AE25CE" w:rsidRDefault="00AE25CE" w:rsidP="005C5767">
            <w:pPr>
              <w:rPr>
                <w:rFonts w:ascii="Arial" w:hAnsi="Arial" w:cs="Arial"/>
                <w:sz w:val="24"/>
                <w:szCs w:val="24"/>
              </w:rPr>
            </w:pPr>
          </w:p>
          <w:p w14:paraId="2CFD9FEF" w14:textId="77777777" w:rsidR="00AE25CE" w:rsidRDefault="00AE25CE" w:rsidP="005C5767">
            <w:pPr>
              <w:rPr>
                <w:rFonts w:ascii="Arial" w:hAnsi="Arial" w:cs="Arial"/>
                <w:sz w:val="24"/>
                <w:szCs w:val="24"/>
              </w:rPr>
            </w:pPr>
          </w:p>
          <w:p w14:paraId="18ED4EB8" w14:textId="77777777" w:rsidR="00AE25CE" w:rsidRDefault="00AE25CE" w:rsidP="005C5767">
            <w:pPr>
              <w:rPr>
                <w:rFonts w:ascii="Arial" w:hAnsi="Arial" w:cs="Arial"/>
                <w:sz w:val="24"/>
                <w:szCs w:val="24"/>
              </w:rPr>
            </w:pPr>
          </w:p>
          <w:p w14:paraId="7C3FC9CB" w14:textId="77777777" w:rsidR="00A6040C" w:rsidRDefault="00A6040C" w:rsidP="009C4FAF">
            <w:pPr>
              <w:rPr>
                <w:rFonts w:ascii="Arial" w:hAnsi="Arial" w:cs="Arial"/>
                <w:sz w:val="24"/>
                <w:szCs w:val="24"/>
              </w:rPr>
            </w:pPr>
          </w:p>
          <w:p w14:paraId="0727F97A" w14:textId="77777777" w:rsidR="00A6040C" w:rsidRDefault="00A6040C" w:rsidP="009C4FAF">
            <w:pPr>
              <w:rPr>
                <w:rFonts w:ascii="Arial" w:hAnsi="Arial" w:cs="Arial"/>
                <w:sz w:val="24"/>
                <w:szCs w:val="24"/>
              </w:rPr>
            </w:pPr>
          </w:p>
          <w:p w14:paraId="239A7DE9" w14:textId="77777777" w:rsidR="00A6040C" w:rsidRDefault="00A6040C" w:rsidP="009C4FAF">
            <w:pPr>
              <w:rPr>
                <w:rFonts w:ascii="Arial" w:hAnsi="Arial" w:cs="Arial"/>
                <w:sz w:val="24"/>
                <w:szCs w:val="24"/>
              </w:rPr>
            </w:pPr>
          </w:p>
          <w:p w14:paraId="5AD9CD22" w14:textId="145D7295" w:rsidR="00AE25CE" w:rsidRDefault="00AE25CE" w:rsidP="009C4FAF">
            <w:pPr>
              <w:rPr>
                <w:rFonts w:ascii="Arial" w:hAnsi="Arial" w:cs="Arial"/>
                <w:sz w:val="24"/>
                <w:szCs w:val="24"/>
              </w:rPr>
            </w:pPr>
          </w:p>
        </w:tc>
        <w:tc>
          <w:tcPr>
            <w:tcW w:w="9940" w:type="dxa"/>
            <w:vAlign w:val="bottom"/>
          </w:tcPr>
          <w:p w14:paraId="597DCC2D" w14:textId="6B7BA7E6" w:rsidR="00AE25CE" w:rsidRDefault="00AE25CE" w:rsidP="005C5767">
            <w:pPr>
              <w:rPr>
                <w:rFonts w:ascii="Arial" w:hAnsi="Arial" w:cs="Arial"/>
                <w:b/>
                <w:sz w:val="24"/>
                <w:szCs w:val="24"/>
              </w:rPr>
            </w:pPr>
            <w:r w:rsidRPr="00436346">
              <w:rPr>
                <w:rFonts w:ascii="Arial" w:hAnsi="Arial" w:cs="Arial"/>
                <w:b/>
                <w:sz w:val="24"/>
                <w:szCs w:val="24"/>
              </w:rPr>
              <w:t>Current position on BV</w:t>
            </w:r>
            <w:r w:rsidR="000705F4">
              <w:rPr>
                <w:rFonts w:ascii="Arial" w:hAnsi="Arial" w:cs="Arial"/>
                <w:b/>
                <w:sz w:val="24"/>
                <w:szCs w:val="24"/>
              </w:rPr>
              <w:t>AR</w:t>
            </w:r>
          </w:p>
          <w:p w14:paraId="1646ECF0" w14:textId="77777777" w:rsidR="00027223" w:rsidRPr="00436346" w:rsidRDefault="00027223" w:rsidP="005C5767">
            <w:pPr>
              <w:rPr>
                <w:rFonts w:ascii="Arial" w:hAnsi="Arial" w:cs="Arial"/>
                <w:b/>
                <w:sz w:val="24"/>
                <w:szCs w:val="24"/>
              </w:rPr>
            </w:pPr>
          </w:p>
          <w:p w14:paraId="344842E6" w14:textId="6FAD0F0D" w:rsidR="00AE25CE" w:rsidRDefault="001173B2" w:rsidP="005C5767">
            <w:pPr>
              <w:rPr>
                <w:rFonts w:ascii="Arial" w:hAnsi="Arial" w:cs="Arial"/>
                <w:sz w:val="24"/>
                <w:szCs w:val="24"/>
              </w:rPr>
            </w:pPr>
            <w:r>
              <w:rPr>
                <w:rFonts w:ascii="Arial" w:hAnsi="Arial" w:cs="Arial"/>
                <w:sz w:val="24"/>
                <w:szCs w:val="24"/>
              </w:rPr>
              <w:t xml:space="preserve">A report to Council on our </w:t>
            </w:r>
            <w:r w:rsidR="00AE25CE">
              <w:rPr>
                <w:rFonts w:ascii="Arial" w:hAnsi="Arial" w:cs="Arial"/>
                <w:sz w:val="24"/>
                <w:szCs w:val="24"/>
              </w:rPr>
              <w:t xml:space="preserve">Local Scrutiny Plan </w:t>
            </w:r>
            <w:r>
              <w:rPr>
                <w:rFonts w:ascii="Arial" w:hAnsi="Arial" w:cs="Arial"/>
                <w:sz w:val="24"/>
                <w:szCs w:val="24"/>
              </w:rPr>
              <w:t xml:space="preserve">by external audit in </w:t>
            </w:r>
            <w:r w:rsidR="00AE25CE">
              <w:rPr>
                <w:rFonts w:ascii="Arial" w:hAnsi="Arial" w:cs="Arial"/>
                <w:sz w:val="24"/>
                <w:szCs w:val="24"/>
              </w:rPr>
              <w:t>May 201</w:t>
            </w:r>
            <w:r>
              <w:rPr>
                <w:rFonts w:ascii="Arial" w:hAnsi="Arial" w:cs="Arial"/>
                <w:sz w:val="24"/>
                <w:szCs w:val="24"/>
              </w:rPr>
              <w:t>6</w:t>
            </w:r>
            <w:r w:rsidR="00AE25CE">
              <w:rPr>
                <w:rFonts w:ascii="Arial" w:hAnsi="Arial" w:cs="Arial"/>
                <w:sz w:val="24"/>
                <w:szCs w:val="24"/>
              </w:rPr>
              <w:t xml:space="preserve"> stated that the Council was recommended for some early Best Value scrutiny. Early indications </w:t>
            </w:r>
            <w:r>
              <w:rPr>
                <w:rFonts w:ascii="Arial" w:hAnsi="Arial" w:cs="Arial"/>
                <w:sz w:val="24"/>
                <w:szCs w:val="24"/>
              </w:rPr>
              <w:t xml:space="preserve">now </w:t>
            </w:r>
            <w:r w:rsidR="00AE25CE">
              <w:rPr>
                <w:rFonts w:ascii="Arial" w:hAnsi="Arial" w:cs="Arial"/>
                <w:sz w:val="24"/>
                <w:szCs w:val="24"/>
              </w:rPr>
              <w:t xml:space="preserve">are this may be </w:t>
            </w:r>
            <w:r>
              <w:rPr>
                <w:rFonts w:ascii="Arial" w:hAnsi="Arial" w:cs="Arial"/>
                <w:sz w:val="24"/>
                <w:szCs w:val="24"/>
              </w:rPr>
              <w:t xml:space="preserve">either </w:t>
            </w:r>
            <w:r w:rsidR="00AE25CE">
              <w:rPr>
                <w:rFonts w:ascii="Arial" w:hAnsi="Arial" w:cs="Arial"/>
                <w:sz w:val="24"/>
                <w:szCs w:val="24"/>
              </w:rPr>
              <w:t xml:space="preserve">thematic or a focused risk based approach rather than a full Council BV and will link to ongoing work of our external auditors.  </w:t>
            </w:r>
            <w:r w:rsidR="00436346">
              <w:rPr>
                <w:rFonts w:ascii="Arial" w:hAnsi="Arial" w:cs="Arial"/>
                <w:sz w:val="24"/>
                <w:szCs w:val="24"/>
              </w:rPr>
              <w:t xml:space="preserve">However the structure of the first </w:t>
            </w:r>
            <w:r>
              <w:rPr>
                <w:rFonts w:ascii="Arial" w:hAnsi="Arial" w:cs="Arial"/>
                <w:sz w:val="24"/>
                <w:szCs w:val="24"/>
              </w:rPr>
              <w:t xml:space="preserve">tranche of BVAR report during 2017/18 </w:t>
            </w:r>
            <w:r w:rsidR="00436346">
              <w:rPr>
                <w:rFonts w:ascii="Arial" w:hAnsi="Arial" w:cs="Arial"/>
                <w:sz w:val="24"/>
                <w:szCs w:val="24"/>
              </w:rPr>
              <w:t xml:space="preserve"> ha</w:t>
            </w:r>
            <w:r w:rsidR="00D41FA3">
              <w:rPr>
                <w:rFonts w:ascii="Arial" w:hAnsi="Arial" w:cs="Arial"/>
                <w:sz w:val="24"/>
                <w:szCs w:val="24"/>
              </w:rPr>
              <w:t>ve been consistent and while the</w:t>
            </w:r>
            <w:r w:rsidR="00436346">
              <w:rPr>
                <w:rFonts w:ascii="Arial" w:hAnsi="Arial" w:cs="Arial"/>
                <w:sz w:val="24"/>
                <w:szCs w:val="24"/>
              </w:rPr>
              <w:t xml:space="preserve"> </w:t>
            </w:r>
            <w:r w:rsidR="00D41FA3">
              <w:rPr>
                <w:rFonts w:ascii="Arial" w:hAnsi="Arial" w:cs="Arial"/>
                <w:sz w:val="24"/>
                <w:szCs w:val="24"/>
              </w:rPr>
              <w:t xml:space="preserve">focus and </w:t>
            </w:r>
            <w:r w:rsidR="00436346">
              <w:rPr>
                <w:rFonts w:ascii="Arial" w:hAnsi="Arial" w:cs="Arial"/>
                <w:sz w:val="24"/>
                <w:szCs w:val="24"/>
              </w:rPr>
              <w:t xml:space="preserve">evidence </w:t>
            </w:r>
            <w:r w:rsidR="00D41FA3">
              <w:rPr>
                <w:rFonts w:ascii="Arial" w:hAnsi="Arial" w:cs="Arial"/>
                <w:sz w:val="24"/>
                <w:szCs w:val="24"/>
              </w:rPr>
              <w:t xml:space="preserve">gathered </w:t>
            </w:r>
            <w:r w:rsidR="00436346">
              <w:rPr>
                <w:rFonts w:ascii="Arial" w:hAnsi="Arial" w:cs="Arial"/>
                <w:sz w:val="24"/>
                <w:szCs w:val="24"/>
              </w:rPr>
              <w:t xml:space="preserve">will differ they have all </w:t>
            </w:r>
            <w:r w:rsidR="00A6040C">
              <w:rPr>
                <w:rFonts w:ascii="Arial" w:hAnsi="Arial" w:cs="Arial"/>
                <w:sz w:val="24"/>
                <w:szCs w:val="24"/>
              </w:rPr>
              <w:t>covered</w:t>
            </w:r>
            <w:r w:rsidR="00436346">
              <w:rPr>
                <w:rFonts w:ascii="Arial" w:hAnsi="Arial" w:cs="Arial"/>
                <w:sz w:val="24"/>
                <w:szCs w:val="24"/>
              </w:rPr>
              <w:t>:</w:t>
            </w:r>
          </w:p>
          <w:p w14:paraId="4BFF45C6" w14:textId="77777777" w:rsidR="00A6040C" w:rsidRDefault="00A6040C" w:rsidP="00A6040C">
            <w:pPr>
              <w:pStyle w:val="ListParagraph"/>
              <w:numPr>
                <w:ilvl w:val="0"/>
                <w:numId w:val="7"/>
              </w:numPr>
              <w:rPr>
                <w:rFonts w:ascii="Arial" w:hAnsi="Arial" w:cs="Arial"/>
                <w:sz w:val="24"/>
                <w:szCs w:val="24"/>
              </w:rPr>
            </w:pPr>
            <w:r>
              <w:rPr>
                <w:rFonts w:ascii="Arial" w:hAnsi="Arial" w:cs="Arial"/>
                <w:sz w:val="24"/>
                <w:szCs w:val="24"/>
              </w:rPr>
              <w:t>Does the Council have a clear strategic direction?</w:t>
            </w:r>
          </w:p>
          <w:p w14:paraId="37627685" w14:textId="77777777" w:rsidR="00A6040C" w:rsidRDefault="00A6040C" w:rsidP="00A6040C">
            <w:pPr>
              <w:pStyle w:val="ListParagraph"/>
              <w:numPr>
                <w:ilvl w:val="0"/>
                <w:numId w:val="7"/>
              </w:numPr>
              <w:rPr>
                <w:rFonts w:ascii="Arial" w:hAnsi="Arial" w:cs="Arial"/>
                <w:sz w:val="24"/>
                <w:szCs w:val="24"/>
              </w:rPr>
            </w:pPr>
            <w:r>
              <w:rPr>
                <w:rFonts w:ascii="Arial" w:hAnsi="Arial" w:cs="Arial"/>
                <w:sz w:val="24"/>
                <w:szCs w:val="24"/>
              </w:rPr>
              <w:t>How well is the Council performing?</w:t>
            </w:r>
          </w:p>
          <w:p w14:paraId="08B0F9E2" w14:textId="77777777" w:rsidR="00A6040C" w:rsidRDefault="00A6040C" w:rsidP="00A6040C">
            <w:pPr>
              <w:pStyle w:val="ListParagraph"/>
              <w:numPr>
                <w:ilvl w:val="0"/>
                <w:numId w:val="7"/>
              </w:numPr>
              <w:rPr>
                <w:rFonts w:ascii="Arial" w:hAnsi="Arial" w:cs="Arial"/>
                <w:sz w:val="24"/>
                <w:szCs w:val="24"/>
              </w:rPr>
            </w:pPr>
            <w:r>
              <w:rPr>
                <w:rFonts w:ascii="Arial" w:hAnsi="Arial" w:cs="Arial"/>
                <w:sz w:val="24"/>
                <w:szCs w:val="24"/>
              </w:rPr>
              <w:t>Is the Council using its resources effectively?</w:t>
            </w:r>
          </w:p>
          <w:p w14:paraId="2639AEFE" w14:textId="77777777" w:rsidR="00A6040C" w:rsidRDefault="00A6040C" w:rsidP="00A6040C">
            <w:pPr>
              <w:pStyle w:val="ListParagraph"/>
              <w:numPr>
                <w:ilvl w:val="0"/>
                <w:numId w:val="7"/>
              </w:numPr>
              <w:rPr>
                <w:rFonts w:ascii="Arial" w:hAnsi="Arial" w:cs="Arial"/>
                <w:sz w:val="24"/>
                <w:szCs w:val="24"/>
              </w:rPr>
            </w:pPr>
            <w:r>
              <w:rPr>
                <w:rFonts w:ascii="Arial" w:hAnsi="Arial" w:cs="Arial"/>
                <w:sz w:val="24"/>
                <w:szCs w:val="24"/>
              </w:rPr>
              <w:t>Is the Council working well with its partners?</w:t>
            </w:r>
          </w:p>
          <w:p w14:paraId="2A831995" w14:textId="02182526" w:rsidR="00C434CB" w:rsidRPr="00C434CB" w:rsidRDefault="00A6040C" w:rsidP="00C434CB">
            <w:pPr>
              <w:pStyle w:val="ListParagraph"/>
              <w:numPr>
                <w:ilvl w:val="0"/>
                <w:numId w:val="7"/>
              </w:numPr>
              <w:rPr>
                <w:rFonts w:ascii="Arial" w:hAnsi="Arial" w:cs="Arial"/>
                <w:sz w:val="24"/>
                <w:szCs w:val="24"/>
              </w:rPr>
            </w:pPr>
            <w:r>
              <w:rPr>
                <w:rFonts w:ascii="Arial" w:hAnsi="Arial" w:cs="Arial"/>
                <w:sz w:val="24"/>
                <w:szCs w:val="24"/>
              </w:rPr>
              <w:t>Is the Council demonstrating continuous improvement?</w:t>
            </w:r>
          </w:p>
          <w:p w14:paraId="709F7A2C" w14:textId="0D0275C8" w:rsidR="00AE25CE" w:rsidRDefault="00AE25CE" w:rsidP="00A6040C">
            <w:pPr>
              <w:rPr>
                <w:rFonts w:ascii="Arial" w:hAnsi="Arial" w:cs="Arial"/>
                <w:sz w:val="24"/>
                <w:szCs w:val="24"/>
              </w:rPr>
            </w:pPr>
          </w:p>
        </w:tc>
      </w:tr>
      <w:tr w:rsidR="00A6040C" w:rsidRPr="009C4FAF" w14:paraId="32BBEEA4" w14:textId="77777777" w:rsidTr="00BF6EAB">
        <w:tc>
          <w:tcPr>
            <w:tcW w:w="550" w:type="dxa"/>
          </w:tcPr>
          <w:p w14:paraId="799FA311" w14:textId="5B942119" w:rsidR="00A6040C" w:rsidRDefault="00A6040C" w:rsidP="005C5767">
            <w:pPr>
              <w:rPr>
                <w:rFonts w:ascii="Arial" w:hAnsi="Arial" w:cs="Arial"/>
                <w:sz w:val="24"/>
                <w:szCs w:val="24"/>
              </w:rPr>
            </w:pPr>
            <w:r>
              <w:rPr>
                <w:rFonts w:ascii="Arial" w:hAnsi="Arial" w:cs="Arial"/>
                <w:sz w:val="24"/>
                <w:szCs w:val="24"/>
              </w:rPr>
              <w:t>3.2</w:t>
            </w:r>
          </w:p>
        </w:tc>
        <w:tc>
          <w:tcPr>
            <w:tcW w:w="9940" w:type="dxa"/>
            <w:vAlign w:val="bottom"/>
          </w:tcPr>
          <w:p w14:paraId="5403CC4E" w14:textId="7BC049B7" w:rsidR="00A6040C" w:rsidRDefault="00A6040C" w:rsidP="00A6040C">
            <w:pPr>
              <w:rPr>
                <w:rFonts w:ascii="Arial" w:hAnsi="Arial" w:cs="Arial"/>
                <w:sz w:val="24"/>
                <w:szCs w:val="24"/>
              </w:rPr>
            </w:pPr>
            <w:r>
              <w:rPr>
                <w:rFonts w:ascii="Arial" w:hAnsi="Arial" w:cs="Arial"/>
                <w:sz w:val="24"/>
                <w:szCs w:val="24"/>
              </w:rPr>
              <w:t>BV guidance is being refreshed but this is in parallel to the first tranche of Councils being audited under exi</w:t>
            </w:r>
            <w:r w:rsidR="00D41FA3">
              <w:rPr>
                <w:rFonts w:ascii="Arial" w:hAnsi="Arial" w:cs="Arial"/>
                <w:sz w:val="24"/>
                <w:szCs w:val="24"/>
              </w:rPr>
              <w:t>s</w:t>
            </w:r>
            <w:r>
              <w:rPr>
                <w:rFonts w:ascii="Arial" w:hAnsi="Arial" w:cs="Arial"/>
                <w:sz w:val="24"/>
                <w:szCs w:val="24"/>
              </w:rPr>
              <w:t xml:space="preserve">ting guidance and the process is being described as evolutionary.  Attached below is a timeline on previous BVs and currently this is being followed with oldest taken first.  The National Performance Forum will enable a watching brief to be kept on the </w:t>
            </w:r>
            <w:r w:rsidR="001173B2">
              <w:rPr>
                <w:rFonts w:ascii="Arial" w:hAnsi="Arial" w:cs="Arial"/>
                <w:sz w:val="24"/>
                <w:szCs w:val="24"/>
              </w:rPr>
              <w:t>1</w:t>
            </w:r>
            <w:r w:rsidR="001173B2" w:rsidRPr="001173B2">
              <w:rPr>
                <w:rFonts w:ascii="Arial" w:hAnsi="Arial" w:cs="Arial"/>
                <w:sz w:val="24"/>
                <w:szCs w:val="24"/>
                <w:vertAlign w:val="superscript"/>
              </w:rPr>
              <w:t>st</w:t>
            </w:r>
            <w:r w:rsidR="001173B2">
              <w:rPr>
                <w:rFonts w:ascii="Arial" w:hAnsi="Arial" w:cs="Arial"/>
                <w:sz w:val="24"/>
                <w:szCs w:val="24"/>
              </w:rPr>
              <w:t xml:space="preserve"> and now 2</w:t>
            </w:r>
            <w:r w:rsidR="001173B2" w:rsidRPr="001173B2">
              <w:rPr>
                <w:rFonts w:ascii="Arial" w:hAnsi="Arial" w:cs="Arial"/>
                <w:sz w:val="24"/>
                <w:szCs w:val="24"/>
                <w:vertAlign w:val="superscript"/>
              </w:rPr>
              <w:t>nd</w:t>
            </w:r>
            <w:r w:rsidR="001173B2">
              <w:rPr>
                <w:rFonts w:ascii="Arial" w:hAnsi="Arial" w:cs="Arial"/>
                <w:sz w:val="24"/>
                <w:szCs w:val="24"/>
              </w:rPr>
              <w:t xml:space="preserve"> </w:t>
            </w:r>
            <w:r>
              <w:rPr>
                <w:rFonts w:ascii="Arial" w:hAnsi="Arial" w:cs="Arial"/>
                <w:sz w:val="24"/>
                <w:szCs w:val="24"/>
              </w:rPr>
              <w:t>tranche of BV</w:t>
            </w:r>
            <w:r w:rsidR="001173B2">
              <w:rPr>
                <w:rFonts w:ascii="Arial" w:hAnsi="Arial" w:cs="Arial"/>
                <w:sz w:val="24"/>
                <w:szCs w:val="24"/>
              </w:rPr>
              <w:t>AR</w:t>
            </w:r>
            <w:r>
              <w:rPr>
                <w:rFonts w:ascii="Arial" w:hAnsi="Arial" w:cs="Arial"/>
                <w:sz w:val="24"/>
                <w:szCs w:val="24"/>
              </w:rPr>
              <w:t>s</w:t>
            </w:r>
            <w:r w:rsidR="001173B2">
              <w:rPr>
                <w:rFonts w:ascii="Arial" w:hAnsi="Arial" w:cs="Arial"/>
                <w:sz w:val="24"/>
                <w:szCs w:val="24"/>
              </w:rPr>
              <w:t xml:space="preserve"> announced</w:t>
            </w:r>
            <w:r>
              <w:rPr>
                <w:rFonts w:ascii="Arial" w:hAnsi="Arial" w:cs="Arial"/>
                <w:sz w:val="24"/>
                <w:szCs w:val="24"/>
              </w:rPr>
              <w:t>.</w:t>
            </w:r>
          </w:p>
          <w:p w14:paraId="7C3FB2D1" w14:textId="77777777" w:rsidR="00A6040C" w:rsidRDefault="00A6040C" w:rsidP="00AE25CE">
            <w:pPr>
              <w:rPr>
                <w:rFonts w:ascii="Arial" w:hAnsi="Arial" w:cs="Arial"/>
                <w:sz w:val="24"/>
                <w:szCs w:val="24"/>
              </w:rPr>
            </w:pPr>
          </w:p>
        </w:tc>
      </w:tr>
      <w:tr w:rsidR="00AE25CE" w:rsidRPr="009C4FAF" w14:paraId="10AC0472" w14:textId="77777777" w:rsidTr="00BF6EAB">
        <w:tc>
          <w:tcPr>
            <w:tcW w:w="550" w:type="dxa"/>
          </w:tcPr>
          <w:p w14:paraId="5702E782" w14:textId="0C3334CB" w:rsidR="00AE25CE" w:rsidRDefault="00436346" w:rsidP="005C5767">
            <w:pPr>
              <w:rPr>
                <w:rFonts w:ascii="Arial" w:hAnsi="Arial" w:cs="Arial"/>
                <w:sz w:val="24"/>
                <w:szCs w:val="24"/>
              </w:rPr>
            </w:pPr>
            <w:r>
              <w:rPr>
                <w:rFonts w:ascii="Arial" w:hAnsi="Arial" w:cs="Arial"/>
                <w:sz w:val="24"/>
                <w:szCs w:val="24"/>
              </w:rPr>
              <w:t>3</w:t>
            </w:r>
            <w:r w:rsidR="00AE25CE">
              <w:rPr>
                <w:rFonts w:ascii="Arial" w:hAnsi="Arial" w:cs="Arial"/>
                <w:sz w:val="24"/>
                <w:szCs w:val="24"/>
              </w:rPr>
              <w:t>.3</w:t>
            </w:r>
          </w:p>
        </w:tc>
        <w:tc>
          <w:tcPr>
            <w:tcW w:w="9940" w:type="dxa"/>
            <w:vAlign w:val="bottom"/>
          </w:tcPr>
          <w:p w14:paraId="6DB291C4" w14:textId="3E6614A8" w:rsidR="00AE25CE" w:rsidRDefault="00AE25CE" w:rsidP="00AE25CE">
            <w:pPr>
              <w:rPr>
                <w:rFonts w:ascii="Arial" w:hAnsi="Arial" w:cs="Arial"/>
                <w:sz w:val="24"/>
                <w:szCs w:val="24"/>
              </w:rPr>
            </w:pPr>
            <w:r>
              <w:rPr>
                <w:rFonts w:ascii="Arial" w:hAnsi="Arial" w:cs="Arial"/>
                <w:sz w:val="24"/>
                <w:szCs w:val="24"/>
              </w:rPr>
              <w:t>Links have also been made in the new direction to Best Value with the Statutory Performance Indicator (</w:t>
            </w:r>
            <w:proofErr w:type="spellStart"/>
            <w:r>
              <w:rPr>
                <w:rFonts w:ascii="Arial" w:hAnsi="Arial" w:cs="Arial"/>
                <w:sz w:val="24"/>
                <w:szCs w:val="24"/>
              </w:rPr>
              <w:t>SPi</w:t>
            </w:r>
            <w:proofErr w:type="spellEnd"/>
            <w:r>
              <w:rPr>
                <w:rFonts w:ascii="Arial" w:hAnsi="Arial" w:cs="Arial"/>
                <w:sz w:val="24"/>
                <w:szCs w:val="24"/>
              </w:rPr>
              <w:t>) guidance stating that incorporating the assessment of Council’s Public Performance Reporting (PPR) is an integral element of the new approach to BV rather than a separate process.  It also highlights that compliance with Local Government Benchmarking Framework (LGBF) is not sufficient and evidence is needed on how benchmarking is used to improve performance</w:t>
            </w:r>
            <w:r w:rsidR="00FD034D">
              <w:rPr>
                <w:rFonts w:ascii="Arial" w:hAnsi="Arial" w:cs="Arial"/>
                <w:sz w:val="24"/>
                <w:szCs w:val="24"/>
              </w:rPr>
              <w:t>.</w:t>
            </w:r>
          </w:p>
          <w:p w14:paraId="25783C3F" w14:textId="245C43FD" w:rsidR="00436346" w:rsidRPr="00A667B7" w:rsidRDefault="00436346" w:rsidP="00AE25CE">
            <w:pPr>
              <w:rPr>
                <w:rFonts w:ascii="Arial" w:hAnsi="Arial" w:cs="Arial"/>
                <w:sz w:val="24"/>
                <w:szCs w:val="24"/>
                <w:u w:val="single"/>
              </w:rPr>
            </w:pPr>
          </w:p>
        </w:tc>
      </w:tr>
      <w:tr w:rsidR="00436346" w:rsidRPr="009C4FAF" w14:paraId="45B52889" w14:textId="77777777" w:rsidTr="00BF6EAB">
        <w:tc>
          <w:tcPr>
            <w:tcW w:w="550" w:type="dxa"/>
          </w:tcPr>
          <w:p w14:paraId="79E49576" w14:textId="77777777" w:rsidR="00436346" w:rsidRDefault="00436346" w:rsidP="005C5767">
            <w:pPr>
              <w:rPr>
                <w:rFonts w:ascii="Arial" w:hAnsi="Arial" w:cs="Arial"/>
                <w:sz w:val="24"/>
                <w:szCs w:val="24"/>
              </w:rPr>
            </w:pPr>
            <w:r>
              <w:rPr>
                <w:rFonts w:ascii="Arial" w:hAnsi="Arial" w:cs="Arial"/>
                <w:sz w:val="24"/>
                <w:szCs w:val="24"/>
              </w:rPr>
              <w:t>4.</w:t>
            </w:r>
          </w:p>
          <w:p w14:paraId="3AD3D51B" w14:textId="77777777" w:rsidR="001F452C" w:rsidRDefault="001F452C" w:rsidP="005C5767">
            <w:pPr>
              <w:rPr>
                <w:rFonts w:ascii="Arial" w:hAnsi="Arial" w:cs="Arial"/>
                <w:sz w:val="24"/>
                <w:szCs w:val="24"/>
              </w:rPr>
            </w:pPr>
          </w:p>
          <w:p w14:paraId="4C35E84C" w14:textId="5146C282" w:rsidR="00436346" w:rsidRDefault="00436346" w:rsidP="005C5767">
            <w:pPr>
              <w:rPr>
                <w:rFonts w:ascii="Arial" w:hAnsi="Arial" w:cs="Arial"/>
                <w:sz w:val="24"/>
                <w:szCs w:val="24"/>
              </w:rPr>
            </w:pPr>
            <w:r>
              <w:rPr>
                <w:rFonts w:ascii="Arial" w:hAnsi="Arial" w:cs="Arial"/>
                <w:sz w:val="24"/>
                <w:szCs w:val="24"/>
              </w:rPr>
              <w:t>4.1</w:t>
            </w:r>
          </w:p>
        </w:tc>
        <w:tc>
          <w:tcPr>
            <w:tcW w:w="9940" w:type="dxa"/>
            <w:vAlign w:val="bottom"/>
          </w:tcPr>
          <w:p w14:paraId="0873A54E" w14:textId="77E4DFBA" w:rsidR="001F452C" w:rsidRPr="00027223" w:rsidRDefault="00436346" w:rsidP="00AE25CE">
            <w:pPr>
              <w:rPr>
                <w:rFonts w:ascii="Arial" w:hAnsi="Arial" w:cs="Arial"/>
                <w:b/>
                <w:sz w:val="24"/>
                <w:szCs w:val="24"/>
              </w:rPr>
            </w:pPr>
            <w:r w:rsidRPr="00027223">
              <w:rPr>
                <w:rFonts w:ascii="Arial" w:hAnsi="Arial" w:cs="Arial"/>
                <w:b/>
                <w:sz w:val="24"/>
                <w:szCs w:val="24"/>
              </w:rPr>
              <w:t>Redesign Contribution to BVAR</w:t>
            </w:r>
          </w:p>
          <w:p w14:paraId="4EDC7D37" w14:textId="77777777" w:rsidR="001F452C" w:rsidRDefault="001F452C" w:rsidP="00100E20">
            <w:pPr>
              <w:rPr>
                <w:rFonts w:ascii="Arial" w:hAnsi="Arial" w:cs="Arial"/>
                <w:sz w:val="24"/>
                <w:szCs w:val="24"/>
              </w:rPr>
            </w:pPr>
          </w:p>
          <w:p w14:paraId="4B1D7F9B" w14:textId="42681EDA" w:rsidR="00436346" w:rsidRDefault="002E0349" w:rsidP="00100E20">
            <w:pPr>
              <w:rPr>
                <w:rFonts w:ascii="Arial" w:hAnsi="Arial" w:cs="Arial"/>
                <w:sz w:val="24"/>
                <w:szCs w:val="24"/>
              </w:rPr>
            </w:pPr>
            <w:r>
              <w:rPr>
                <w:rFonts w:ascii="Arial" w:hAnsi="Arial" w:cs="Arial"/>
                <w:sz w:val="24"/>
                <w:szCs w:val="24"/>
              </w:rPr>
              <w:t>The Redesign Board has a crucial role in supporting a positive outcome for the Council through our BVAR.</w:t>
            </w:r>
            <w:r w:rsidR="003D7FB5">
              <w:rPr>
                <w:rFonts w:ascii="Arial" w:hAnsi="Arial" w:cs="Arial"/>
                <w:sz w:val="24"/>
                <w:szCs w:val="24"/>
              </w:rPr>
              <w:t xml:space="preserve">  </w:t>
            </w:r>
            <w:r w:rsidR="00695BAD">
              <w:rPr>
                <w:rFonts w:ascii="Arial" w:hAnsi="Arial" w:cs="Arial"/>
                <w:sz w:val="24"/>
                <w:szCs w:val="24"/>
              </w:rPr>
              <w:t>The overall approach and options appraisal methodology used for Redesign is now providing a consistent approach for the Council to review functions and services with a drive continuous improvement and value for money.</w:t>
            </w:r>
            <w:r w:rsidR="00100E20">
              <w:rPr>
                <w:rFonts w:ascii="Arial" w:hAnsi="Arial" w:cs="Arial"/>
                <w:sz w:val="24"/>
                <w:szCs w:val="24"/>
              </w:rPr>
              <w:t xml:space="preserve"> All the key areas being covered by BVAR as outlined in paragraph 3.1 are the core work of the Redesign Board as such the work of the Board provides crucial direction for the Council and will provide core evidence for the BVAR. Overall the approach to Redesign is now intrinsic to delivering Best Value and is also being viewed very positively by external audit.</w:t>
            </w:r>
          </w:p>
        </w:tc>
      </w:tr>
      <w:tr w:rsidR="00AE25CE" w:rsidRPr="009C4FAF" w14:paraId="145A7884" w14:textId="77777777" w:rsidTr="00BF6EAB">
        <w:tc>
          <w:tcPr>
            <w:tcW w:w="550" w:type="dxa"/>
          </w:tcPr>
          <w:p w14:paraId="515660E3" w14:textId="6543ECE9" w:rsidR="00AE25CE" w:rsidRDefault="00AE25CE" w:rsidP="009C4FAF">
            <w:pPr>
              <w:rPr>
                <w:rFonts w:ascii="Arial" w:hAnsi="Arial" w:cs="Arial"/>
                <w:sz w:val="24"/>
                <w:szCs w:val="24"/>
              </w:rPr>
            </w:pPr>
          </w:p>
        </w:tc>
        <w:tc>
          <w:tcPr>
            <w:tcW w:w="9940" w:type="dxa"/>
            <w:vAlign w:val="bottom"/>
          </w:tcPr>
          <w:p w14:paraId="50E5A0E6" w14:textId="769EF8E7" w:rsidR="00AE25CE" w:rsidRDefault="00AE25CE" w:rsidP="00A32B5C">
            <w:pPr>
              <w:rPr>
                <w:rFonts w:ascii="Arial" w:hAnsi="Arial" w:cs="Arial"/>
                <w:sz w:val="24"/>
                <w:szCs w:val="24"/>
              </w:rPr>
            </w:pPr>
          </w:p>
        </w:tc>
      </w:tr>
      <w:tr w:rsidR="00AE25CE" w:rsidRPr="009C4FAF" w14:paraId="6E0A96B8" w14:textId="77777777" w:rsidTr="00BF6EAB">
        <w:tc>
          <w:tcPr>
            <w:tcW w:w="550" w:type="dxa"/>
          </w:tcPr>
          <w:p w14:paraId="6DCE2C14" w14:textId="77777777" w:rsidR="00AE25CE" w:rsidRDefault="00AE25CE" w:rsidP="009C4FAF">
            <w:pPr>
              <w:rPr>
                <w:rFonts w:ascii="Arial" w:hAnsi="Arial" w:cs="Arial"/>
                <w:sz w:val="24"/>
                <w:szCs w:val="24"/>
              </w:rPr>
            </w:pPr>
          </w:p>
        </w:tc>
        <w:tc>
          <w:tcPr>
            <w:tcW w:w="9940" w:type="dxa"/>
            <w:vAlign w:val="bottom"/>
          </w:tcPr>
          <w:p w14:paraId="63217F54" w14:textId="77777777" w:rsidR="00AE25CE" w:rsidRDefault="00AE25CE" w:rsidP="009C4FAF">
            <w:pPr>
              <w:rPr>
                <w:rFonts w:ascii="Arial" w:hAnsi="Arial" w:cs="Arial"/>
                <w:sz w:val="24"/>
                <w:szCs w:val="24"/>
              </w:rPr>
            </w:pPr>
          </w:p>
          <w:p w14:paraId="6F8A0F2D" w14:textId="35DE07CF" w:rsidR="002E0349" w:rsidRDefault="002E0349" w:rsidP="002E0349">
            <w:pPr>
              <w:rPr>
                <w:rFonts w:ascii="Arial" w:hAnsi="Arial" w:cs="Arial"/>
                <w:sz w:val="24"/>
                <w:szCs w:val="24"/>
              </w:rPr>
            </w:pPr>
            <w:r>
              <w:rPr>
                <w:rFonts w:ascii="Arial" w:hAnsi="Arial" w:cs="Arial"/>
                <w:sz w:val="24"/>
                <w:szCs w:val="24"/>
              </w:rPr>
              <w:t>Author:  Evelyn Johnston, Corporate Audit &amp; Performance Manager</w:t>
            </w:r>
            <w:r>
              <w:rPr>
                <w:rFonts w:ascii="Arial" w:hAnsi="Arial" w:cs="Arial"/>
                <w:sz w:val="24"/>
                <w:szCs w:val="24"/>
              </w:rPr>
              <w:tab/>
            </w:r>
            <w:r w:rsidR="00BB0429">
              <w:rPr>
                <w:rFonts w:ascii="Arial" w:hAnsi="Arial" w:cs="Arial"/>
                <w:sz w:val="24"/>
                <w:szCs w:val="24"/>
              </w:rPr>
              <w:t xml:space="preserve">   23.01.18</w:t>
            </w:r>
          </w:p>
          <w:p w14:paraId="171E9FCC" w14:textId="77777777" w:rsidR="00AE25CE" w:rsidRDefault="00AE25CE" w:rsidP="009C4FAF">
            <w:pPr>
              <w:rPr>
                <w:rFonts w:ascii="Arial" w:hAnsi="Arial" w:cs="Arial"/>
                <w:sz w:val="24"/>
                <w:szCs w:val="24"/>
              </w:rPr>
            </w:pPr>
          </w:p>
          <w:p w14:paraId="638754F9" w14:textId="484DE701" w:rsidR="00B02D7F" w:rsidRPr="00B02D7F" w:rsidRDefault="00B02D7F" w:rsidP="009C4FAF">
            <w:pPr>
              <w:rPr>
                <w:rFonts w:ascii="Arial" w:hAnsi="Arial" w:cs="Arial"/>
                <w:sz w:val="24"/>
                <w:szCs w:val="24"/>
              </w:rPr>
            </w:pPr>
            <w:r w:rsidRPr="00B02D7F">
              <w:rPr>
                <w:rFonts w:ascii="Arial" w:hAnsi="Arial" w:cs="Arial"/>
                <w:sz w:val="24"/>
                <w:szCs w:val="24"/>
              </w:rPr>
              <w:t>Appendix 1 – BVAR timeline</w:t>
            </w:r>
          </w:p>
          <w:p w14:paraId="2BB13513" w14:textId="6EB35166" w:rsidR="00B02D7F" w:rsidRPr="00B02D7F" w:rsidRDefault="00B02D7F" w:rsidP="009C4FAF">
            <w:pPr>
              <w:rPr>
                <w:rFonts w:ascii="Arial" w:hAnsi="Arial" w:cs="Arial"/>
                <w:sz w:val="24"/>
                <w:szCs w:val="24"/>
              </w:rPr>
            </w:pPr>
            <w:r w:rsidRPr="00B02D7F">
              <w:rPr>
                <w:rFonts w:ascii="Arial" w:hAnsi="Arial" w:cs="Arial"/>
                <w:sz w:val="24"/>
                <w:szCs w:val="24"/>
              </w:rPr>
              <w:t>Appendix 2 – List of benchmark SPIs</w:t>
            </w:r>
            <w:r w:rsidR="001C5D19">
              <w:rPr>
                <w:rFonts w:ascii="Arial" w:hAnsi="Arial" w:cs="Arial"/>
                <w:sz w:val="24"/>
                <w:szCs w:val="24"/>
              </w:rPr>
              <w:t xml:space="preserve"> (LGBF)</w:t>
            </w:r>
          </w:p>
          <w:p w14:paraId="1CAF0358" w14:textId="77777777" w:rsidR="00E66D60" w:rsidRDefault="00E66D60" w:rsidP="002E0349">
            <w:pPr>
              <w:jc w:val="right"/>
              <w:rPr>
                <w:rFonts w:ascii="Arial" w:hAnsi="Arial" w:cs="Arial"/>
                <w:sz w:val="24"/>
                <w:szCs w:val="24"/>
              </w:rPr>
            </w:pPr>
          </w:p>
          <w:p w14:paraId="012019B2" w14:textId="77777777" w:rsidR="00E66D60" w:rsidRDefault="00E66D60" w:rsidP="002E0349">
            <w:pPr>
              <w:jc w:val="right"/>
              <w:rPr>
                <w:rFonts w:ascii="Arial" w:hAnsi="Arial" w:cs="Arial"/>
                <w:sz w:val="24"/>
                <w:szCs w:val="24"/>
              </w:rPr>
            </w:pPr>
          </w:p>
          <w:p w14:paraId="0AAC63FB" w14:textId="69FDC66D" w:rsidR="002E0349" w:rsidRDefault="002E0349" w:rsidP="002E0349">
            <w:pPr>
              <w:jc w:val="right"/>
              <w:rPr>
                <w:rFonts w:ascii="Arial" w:hAnsi="Arial" w:cs="Arial"/>
                <w:sz w:val="24"/>
                <w:szCs w:val="24"/>
              </w:rPr>
            </w:pPr>
            <w:r>
              <w:rPr>
                <w:rFonts w:ascii="Arial" w:hAnsi="Arial" w:cs="Arial"/>
                <w:sz w:val="24"/>
                <w:szCs w:val="24"/>
              </w:rPr>
              <w:t>Appendix 1</w:t>
            </w:r>
          </w:p>
          <w:p w14:paraId="128442CB" w14:textId="77777777" w:rsidR="002E0349" w:rsidRDefault="002E0349" w:rsidP="009C4FAF">
            <w:pPr>
              <w:rPr>
                <w:rFonts w:ascii="Arial" w:hAnsi="Arial" w:cs="Arial"/>
                <w:sz w:val="24"/>
                <w:szCs w:val="24"/>
              </w:rPr>
            </w:pPr>
          </w:p>
          <w:p w14:paraId="0CE50644" w14:textId="0318F15D" w:rsidR="00AE25CE" w:rsidRDefault="00AE25CE" w:rsidP="009C4FAF">
            <w:pPr>
              <w:rPr>
                <w:rFonts w:ascii="Arial" w:hAnsi="Arial" w:cs="Arial"/>
                <w:sz w:val="24"/>
                <w:szCs w:val="24"/>
              </w:rPr>
            </w:pPr>
            <w:r>
              <w:rPr>
                <w:noProof/>
                <w:lang w:eastAsia="en-GB"/>
              </w:rPr>
              <w:drawing>
                <wp:inline distT="0" distB="0" distL="0" distR="0" wp14:anchorId="1B957A2F" wp14:editId="6612AEA6">
                  <wp:extent cx="6408463" cy="378414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417490" cy="3789472"/>
                          </a:xfrm>
                          <a:prstGeom prst="rect">
                            <a:avLst/>
                          </a:prstGeom>
                        </pic:spPr>
                      </pic:pic>
                    </a:graphicData>
                  </a:graphic>
                </wp:inline>
              </w:drawing>
            </w:r>
          </w:p>
          <w:p w14:paraId="492E182C" w14:textId="77777777" w:rsidR="00AE25CE" w:rsidRDefault="00AE25CE" w:rsidP="009C4FAF">
            <w:pPr>
              <w:rPr>
                <w:rFonts w:ascii="Arial" w:hAnsi="Arial" w:cs="Arial"/>
                <w:sz w:val="24"/>
                <w:szCs w:val="24"/>
              </w:rPr>
            </w:pPr>
          </w:p>
          <w:p w14:paraId="0862360A" w14:textId="77777777" w:rsidR="00AE25CE" w:rsidRDefault="00AE25CE" w:rsidP="009C4FAF">
            <w:pPr>
              <w:rPr>
                <w:rFonts w:ascii="Arial" w:hAnsi="Arial" w:cs="Arial"/>
                <w:sz w:val="24"/>
                <w:szCs w:val="24"/>
              </w:rPr>
            </w:pPr>
          </w:p>
          <w:p w14:paraId="3ABFE03F" w14:textId="77777777" w:rsidR="00AE25CE" w:rsidRDefault="00AE25CE" w:rsidP="009C4FAF">
            <w:pPr>
              <w:rPr>
                <w:rFonts w:ascii="Arial" w:hAnsi="Arial" w:cs="Arial"/>
                <w:sz w:val="24"/>
                <w:szCs w:val="24"/>
              </w:rPr>
            </w:pPr>
          </w:p>
        </w:tc>
      </w:tr>
      <w:tr w:rsidR="002E0349" w:rsidRPr="009C4FAF" w14:paraId="076C4D45" w14:textId="77777777" w:rsidTr="00BF6EAB">
        <w:tc>
          <w:tcPr>
            <w:tcW w:w="550" w:type="dxa"/>
          </w:tcPr>
          <w:p w14:paraId="62596B8B" w14:textId="59D3B87C" w:rsidR="002E0349" w:rsidRDefault="002E0349" w:rsidP="009C4FAF">
            <w:pPr>
              <w:rPr>
                <w:rFonts w:ascii="Arial" w:hAnsi="Arial" w:cs="Arial"/>
                <w:sz w:val="24"/>
                <w:szCs w:val="24"/>
              </w:rPr>
            </w:pPr>
          </w:p>
        </w:tc>
        <w:tc>
          <w:tcPr>
            <w:tcW w:w="9940" w:type="dxa"/>
            <w:vAlign w:val="bottom"/>
          </w:tcPr>
          <w:p w14:paraId="1B7F8DB6" w14:textId="77777777" w:rsidR="002E0349" w:rsidRDefault="002E0349" w:rsidP="009C4FAF">
            <w:pPr>
              <w:rPr>
                <w:rFonts w:ascii="Arial" w:hAnsi="Arial" w:cs="Arial"/>
                <w:sz w:val="24"/>
                <w:szCs w:val="24"/>
              </w:rPr>
            </w:pPr>
          </w:p>
        </w:tc>
      </w:tr>
    </w:tbl>
    <w:p w14:paraId="2744F5C6" w14:textId="36499510" w:rsidR="00B02D7F" w:rsidRDefault="00B02D7F" w:rsidP="002E0349">
      <w:pPr>
        <w:rPr>
          <w:rFonts w:ascii="Arial" w:hAnsi="Arial" w:cs="Arial"/>
          <w:sz w:val="24"/>
          <w:szCs w:val="24"/>
        </w:rPr>
      </w:pPr>
    </w:p>
    <w:p w14:paraId="3FE86A9E" w14:textId="77777777" w:rsidR="00B02D7F" w:rsidRDefault="00B02D7F">
      <w:pPr>
        <w:rPr>
          <w:rFonts w:ascii="Arial" w:hAnsi="Arial" w:cs="Arial"/>
          <w:sz w:val="24"/>
          <w:szCs w:val="24"/>
        </w:rPr>
      </w:pPr>
      <w:r>
        <w:rPr>
          <w:rFonts w:ascii="Arial" w:hAnsi="Arial" w:cs="Arial"/>
          <w:sz w:val="24"/>
          <w:szCs w:val="24"/>
        </w:rPr>
        <w:br w:type="page"/>
      </w:r>
    </w:p>
    <w:p w14:paraId="447E2476" w14:textId="4DDE4C1D" w:rsidR="0075662A" w:rsidRDefault="00B02D7F" w:rsidP="00CA0619">
      <w:pPr>
        <w:ind w:left="7920"/>
        <w:jc w:val="center"/>
        <w:rPr>
          <w:rFonts w:ascii="Arial" w:hAnsi="Arial" w:cs="Arial"/>
          <w:sz w:val="24"/>
          <w:szCs w:val="24"/>
        </w:rPr>
      </w:pPr>
      <w:r>
        <w:rPr>
          <w:rFonts w:ascii="Arial" w:hAnsi="Arial" w:cs="Arial"/>
          <w:sz w:val="24"/>
          <w:szCs w:val="24"/>
        </w:rPr>
        <w:lastRenderedPageBreak/>
        <w:t>Appendix 2</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1"/>
      </w:tblGrid>
      <w:tr w:rsidR="00097B92" w:rsidRPr="00003E6D" w14:paraId="2F54A07F" w14:textId="77777777" w:rsidTr="001C5D19">
        <w:trPr>
          <w:trHeight w:val="329"/>
        </w:trPr>
        <w:tc>
          <w:tcPr>
            <w:tcW w:w="9371" w:type="dxa"/>
            <w:shd w:val="clear" w:color="000000" w:fill="D9D9D9"/>
            <w:hideMark/>
          </w:tcPr>
          <w:p w14:paraId="16145B00" w14:textId="77777777" w:rsidR="00097B92" w:rsidRPr="004F3A0C" w:rsidRDefault="00097B92" w:rsidP="007B17E7">
            <w:pPr>
              <w:rPr>
                <w:b/>
                <w:bCs/>
                <w:highlight w:val="yellow"/>
              </w:rPr>
            </w:pPr>
            <w:r w:rsidRPr="004F3A0C">
              <w:rPr>
                <w:b/>
              </w:rPr>
              <w:t>Children’s Services</w:t>
            </w:r>
          </w:p>
        </w:tc>
      </w:tr>
      <w:tr w:rsidR="00097B92" w:rsidRPr="00003E6D" w14:paraId="39461651" w14:textId="77777777" w:rsidTr="001C5D19">
        <w:trPr>
          <w:trHeight w:val="375"/>
        </w:trPr>
        <w:tc>
          <w:tcPr>
            <w:tcW w:w="9371" w:type="dxa"/>
            <w:shd w:val="clear" w:color="auto" w:fill="auto"/>
          </w:tcPr>
          <w:p w14:paraId="5C9DF0E4" w14:textId="77777777" w:rsidR="00097B92" w:rsidRPr="00A36DD3" w:rsidRDefault="00097B92" w:rsidP="007B17E7">
            <w:r w:rsidRPr="00A36DD3">
              <w:t>CHN01 - Cost per primary school pupil</w:t>
            </w:r>
          </w:p>
        </w:tc>
      </w:tr>
      <w:tr w:rsidR="00097B92" w:rsidRPr="00003E6D" w14:paraId="0E44A2EF" w14:textId="77777777" w:rsidTr="001C5D19">
        <w:trPr>
          <w:trHeight w:val="329"/>
        </w:trPr>
        <w:tc>
          <w:tcPr>
            <w:tcW w:w="9371" w:type="dxa"/>
            <w:shd w:val="clear" w:color="auto" w:fill="auto"/>
          </w:tcPr>
          <w:p w14:paraId="50D2E47C" w14:textId="77777777" w:rsidR="00097B92" w:rsidRPr="00A36DD3" w:rsidRDefault="00097B92" w:rsidP="007B17E7">
            <w:r w:rsidRPr="00A36DD3">
              <w:t>CHN02 - Cost per secondary school pupil</w:t>
            </w:r>
          </w:p>
        </w:tc>
      </w:tr>
      <w:tr w:rsidR="00097B92" w:rsidRPr="00003E6D" w14:paraId="5DE6D462" w14:textId="77777777" w:rsidTr="001C5D19">
        <w:trPr>
          <w:trHeight w:val="329"/>
        </w:trPr>
        <w:tc>
          <w:tcPr>
            <w:tcW w:w="9371" w:type="dxa"/>
            <w:shd w:val="clear" w:color="auto" w:fill="auto"/>
          </w:tcPr>
          <w:p w14:paraId="7A2B6D5B" w14:textId="77777777" w:rsidR="00097B92" w:rsidRPr="00A36DD3" w:rsidRDefault="00097B92" w:rsidP="007B17E7">
            <w:r w:rsidRPr="00A36DD3">
              <w:t>CHN03 - Cost per pre-school education registration</w:t>
            </w:r>
          </w:p>
        </w:tc>
      </w:tr>
      <w:tr w:rsidR="00097B92" w:rsidRPr="00003E6D" w14:paraId="39152919" w14:textId="77777777" w:rsidTr="001C5D19">
        <w:trPr>
          <w:trHeight w:val="329"/>
        </w:trPr>
        <w:tc>
          <w:tcPr>
            <w:tcW w:w="9371" w:type="dxa"/>
            <w:shd w:val="clear" w:color="auto" w:fill="auto"/>
          </w:tcPr>
          <w:p w14:paraId="7B6E8C8A" w14:textId="77777777" w:rsidR="00097B92" w:rsidRPr="00A36DD3" w:rsidRDefault="00097B92" w:rsidP="007B17E7">
            <w:r w:rsidRPr="00A36DD3">
              <w:t>CHN8a - Gross cost per bed/week Children’s Residential Units</w:t>
            </w:r>
          </w:p>
        </w:tc>
      </w:tr>
      <w:tr w:rsidR="00097B92" w:rsidRPr="00003E6D" w14:paraId="3B3E6262" w14:textId="77777777" w:rsidTr="001C5D19">
        <w:trPr>
          <w:trHeight w:val="329"/>
        </w:trPr>
        <w:tc>
          <w:tcPr>
            <w:tcW w:w="9371" w:type="dxa"/>
            <w:shd w:val="clear" w:color="auto" w:fill="auto"/>
          </w:tcPr>
          <w:p w14:paraId="7BD6718E" w14:textId="77777777" w:rsidR="00097B92" w:rsidRPr="00A36DD3" w:rsidRDefault="00097B92" w:rsidP="007B17E7">
            <w:r w:rsidRPr="00A36DD3">
              <w:t>CHN8b - Cost of LAC per child per week - community</w:t>
            </w:r>
          </w:p>
        </w:tc>
      </w:tr>
      <w:tr w:rsidR="00097B92" w:rsidRPr="00003E6D" w14:paraId="0A2CEBD7" w14:textId="77777777" w:rsidTr="001C5D19">
        <w:trPr>
          <w:trHeight w:val="329"/>
        </w:trPr>
        <w:tc>
          <w:tcPr>
            <w:tcW w:w="9371" w:type="dxa"/>
            <w:shd w:val="clear" w:color="auto" w:fill="auto"/>
          </w:tcPr>
          <w:p w14:paraId="635112BB" w14:textId="77777777" w:rsidR="00097B92" w:rsidRPr="00097B92" w:rsidRDefault="00097B92" w:rsidP="007B17E7">
            <w:r w:rsidRPr="00097B92">
              <w:t>CHN10 - % adults satisfied - schools [3 year rolled averages]</w:t>
            </w:r>
          </w:p>
        </w:tc>
      </w:tr>
      <w:tr w:rsidR="00097B92" w:rsidRPr="00003E6D" w14:paraId="0826F1CA" w14:textId="77777777" w:rsidTr="001C5D19">
        <w:trPr>
          <w:trHeight w:val="329"/>
        </w:trPr>
        <w:tc>
          <w:tcPr>
            <w:tcW w:w="9371" w:type="dxa"/>
            <w:shd w:val="clear" w:color="auto" w:fill="auto"/>
          </w:tcPr>
          <w:p w14:paraId="786052D2" w14:textId="77777777" w:rsidR="00097B92" w:rsidRPr="00097B92" w:rsidRDefault="00097B92" w:rsidP="007B17E7">
            <w:r w:rsidRPr="00097B92">
              <w:t>CHN17 - % of children meeting developmental milestones</w:t>
            </w:r>
          </w:p>
        </w:tc>
      </w:tr>
      <w:tr w:rsidR="00097B92" w:rsidRPr="00003E6D" w14:paraId="5B90383B" w14:textId="77777777" w:rsidTr="001C5D19">
        <w:trPr>
          <w:trHeight w:val="329"/>
        </w:trPr>
        <w:tc>
          <w:tcPr>
            <w:tcW w:w="9371" w:type="dxa"/>
            <w:shd w:val="clear" w:color="auto" w:fill="auto"/>
          </w:tcPr>
          <w:p w14:paraId="5916942B" w14:textId="77777777" w:rsidR="00097B92" w:rsidRPr="00097B92" w:rsidRDefault="00097B92" w:rsidP="007B17E7">
            <w:r w:rsidRPr="00097B92">
              <w:t>CHN18 - % of funded early years provision which is graded good/better</w:t>
            </w:r>
          </w:p>
        </w:tc>
      </w:tr>
      <w:tr w:rsidR="00097B92" w:rsidRPr="00003E6D" w14:paraId="6A8FDF86" w14:textId="77777777" w:rsidTr="001C5D19">
        <w:trPr>
          <w:trHeight w:val="329"/>
        </w:trPr>
        <w:tc>
          <w:tcPr>
            <w:tcW w:w="9371" w:type="dxa"/>
            <w:shd w:val="clear" w:color="auto" w:fill="auto"/>
          </w:tcPr>
          <w:p w14:paraId="46CA10C4" w14:textId="77777777" w:rsidR="00097B92" w:rsidRPr="00097B92" w:rsidRDefault="00097B92" w:rsidP="007B17E7">
            <w:r w:rsidRPr="00097B92">
              <w:t>CHN21 - % Participation rate for 16-19 year olds</w:t>
            </w:r>
          </w:p>
        </w:tc>
      </w:tr>
      <w:tr w:rsidR="00097B92" w:rsidRPr="00003E6D" w14:paraId="2583BA62" w14:textId="77777777" w:rsidTr="001C5D19">
        <w:trPr>
          <w:trHeight w:val="329"/>
        </w:trPr>
        <w:tc>
          <w:tcPr>
            <w:tcW w:w="9371" w:type="dxa"/>
            <w:shd w:val="clear" w:color="auto" w:fill="auto"/>
          </w:tcPr>
          <w:p w14:paraId="2C7F1676" w14:textId="77777777" w:rsidR="00097B92" w:rsidRPr="00097B92" w:rsidRDefault="00097B92" w:rsidP="007B17E7">
            <w:r w:rsidRPr="00097B92">
              <w:t>CHN22 - % of child protection re-registrations within 18 months</w:t>
            </w:r>
          </w:p>
        </w:tc>
      </w:tr>
      <w:tr w:rsidR="00097B92" w:rsidRPr="00003E6D" w14:paraId="582EFB11" w14:textId="77777777" w:rsidTr="001C5D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
        </w:trPr>
        <w:tc>
          <w:tcPr>
            <w:tcW w:w="9371" w:type="dxa"/>
            <w:tcBorders>
              <w:top w:val="nil"/>
              <w:left w:val="single" w:sz="4" w:space="0" w:color="auto"/>
              <w:bottom w:val="single" w:sz="4" w:space="0" w:color="auto"/>
              <w:right w:val="single" w:sz="4" w:space="0" w:color="auto"/>
            </w:tcBorders>
            <w:shd w:val="clear" w:color="auto" w:fill="auto"/>
            <w:hideMark/>
          </w:tcPr>
          <w:p w14:paraId="039A3D96" w14:textId="77777777" w:rsidR="00097B92" w:rsidRPr="00A36DD3" w:rsidRDefault="00097B92" w:rsidP="007B17E7">
            <w:r w:rsidRPr="00A36DD3">
              <w:t>CHN04 - SCQF Level 5 attainment by all children</w:t>
            </w:r>
          </w:p>
        </w:tc>
      </w:tr>
      <w:tr w:rsidR="00097B92" w:rsidRPr="00003E6D" w14:paraId="69E63CB2" w14:textId="77777777" w:rsidTr="001C5D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
        </w:trPr>
        <w:tc>
          <w:tcPr>
            <w:tcW w:w="9371" w:type="dxa"/>
            <w:tcBorders>
              <w:top w:val="nil"/>
              <w:left w:val="single" w:sz="4" w:space="0" w:color="auto"/>
              <w:bottom w:val="single" w:sz="4" w:space="0" w:color="auto"/>
              <w:right w:val="single" w:sz="4" w:space="0" w:color="auto"/>
            </w:tcBorders>
            <w:shd w:val="clear" w:color="auto" w:fill="auto"/>
            <w:hideMark/>
          </w:tcPr>
          <w:p w14:paraId="1D62A01B" w14:textId="77777777" w:rsidR="00097B92" w:rsidRPr="00A36DD3" w:rsidRDefault="00097B92" w:rsidP="007B17E7">
            <w:r w:rsidRPr="00A36DD3">
              <w:t>CHN05 - SCQF Level 6 attainment by all children</w:t>
            </w:r>
          </w:p>
        </w:tc>
      </w:tr>
      <w:tr w:rsidR="00097B92" w:rsidRPr="00003E6D" w14:paraId="163EA943" w14:textId="77777777" w:rsidTr="001C5D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
        </w:trPr>
        <w:tc>
          <w:tcPr>
            <w:tcW w:w="9371" w:type="dxa"/>
            <w:tcBorders>
              <w:top w:val="nil"/>
              <w:left w:val="single" w:sz="4" w:space="0" w:color="auto"/>
              <w:bottom w:val="single" w:sz="4" w:space="0" w:color="auto"/>
              <w:right w:val="single" w:sz="4" w:space="0" w:color="auto"/>
            </w:tcBorders>
            <w:shd w:val="clear" w:color="auto" w:fill="auto"/>
            <w:hideMark/>
          </w:tcPr>
          <w:p w14:paraId="40B372B9" w14:textId="77777777" w:rsidR="00097B92" w:rsidRPr="00A36DD3" w:rsidRDefault="00097B92" w:rsidP="007B17E7">
            <w:r w:rsidRPr="00A36DD3">
              <w:t>CHN06 - SCQF Level 5 attainment by children from deprived backgrounds</w:t>
            </w:r>
          </w:p>
        </w:tc>
      </w:tr>
      <w:tr w:rsidR="00097B92" w:rsidRPr="00003E6D" w14:paraId="3E717D69" w14:textId="77777777" w:rsidTr="001C5D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
        </w:trPr>
        <w:tc>
          <w:tcPr>
            <w:tcW w:w="9371" w:type="dxa"/>
            <w:tcBorders>
              <w:top w:val="nil"/>
              <w:left w:val="single" w:sz="4" w:space="0" w:color="auto"/>
              <w:bottom w:val="single" w:sz="4" w:space="0" w:color="auto"/>
              <w:right w:val="single" w:sz="4" w:space="0" w:color="auto"/>
            </w:tcBorders>
            <w:shd w:val="clear" w:color="auto" w:fill="auto"/>
            <w:hideMark/>
          </w:tcPr>
          <w:p w14:paraId="7CF035EB" w14:textId="77777777" w:rsidR="00097B92" w:rsidRPr="00A36DD3" w:rsidRDefault="00097B92" w:rsidP="007B17E7">
            <w:r w:rsidRPr="00A36DD3">
              <w:t>CHN07 - SCQF Level 6 attainment by children from deprived backgrounds</w:t>
            </w:r>
          </w:p>
        </w:tc>
      </w:tr>
      <w:tr w:rsidR="00097B92" w:rsidRPr="00003E6D" w14:paraId="114FEF25" w14:textId="77777777" w:rsidTr="001C5D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
        </w:trPr>
        <w:tc>
          <w:tcPr>
            <w:tcW w:w="9371" w:type="dxa"/>
            <w:tcBorders>
              <w:top w:val="nil"/>
              <w:left w:val="single" w:sz="4" w:space="0" w:color="auto"/>
              <w:bottom w:val="single" w:sz="4" w:space="0" w:color="auto"/>
              <w:right w:val="single" w:sz="4" w:space="0" w:color="auto"/>
            </w:tcBorders>
            <w:shd w:val="clear" w:color="auto" w:fill="auto"/>
            <w:hideMark/>
          </w:tcPr>
          <w:p w14:paraId="22E509DA" w14:textId="77777777" w:rsidR="00097B92" w:rsidRPr="00A36DD3" w:rsidRDefault="00097B92" w:rsidP="007B17E7">
            <w:r w:rsidRPr="00A36DD3">
              <w:t>CHN09 - % of Looked After Children in the community</w:t>
            </w:r>
          </w:p>
        </w:tc>
      </w:tr>
      <w:tr w:rsidR="00097B92" w:rsidRPr="00003E6D" w14:paraId="0C571160" w14:textId="77777777" w:rsidTr="001C5D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
        </w:trPr>
        <w:tc>
          <w:tcPr>
            <w:tcW w:w="9371" w:type="dxa"/>
            <w:tcBorders>
              <w:top w:val="nil"/>
              <w:left w:val="single" w:sz="4" w:space="0" w:color="auto"/>
              <w:bottom w:val="single" w:sz="4" w:space="0" w:color="auto"/>
              <w:right w:val="single" w:sz="4" w:space="0" w:color="auto"/>
            </w:tcBorders>
            <w:shd w:val="clear" w:color="auto" w:fill="auto"/>
            <w:hideMark/>
          </w:tcPr>
          <w:p w14:paraId="42961E21" w14:textId="77777777" w:rsidR="00097B92" w:rsidRPr="00A36DD3" w:rsidRDefault="00097B92" w:rsidP="007B17E7">
            <w:r w:rsidRPr="00A36DD3">
              <w:t>CHN11 - Pupils entering positive destinations</w:t>
            </w:r>
          </w:p>
        </w:tc>
      </w:tr>
      <w:tr w:rsidR="00097B92" w:rsidRPr="00003E6D" w14:paraId="083CEDFF" w14:textId="77777777" w:rsidTr="001C5D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
        </w:trPr>
        <w:tc>
          <w:tcPr>
            <w:tcW w:w="9371" w:type="dxa"/>
            <w:tcBorders>
              <w:top w:val="nil"/>
              <w:left w:val="single" w:sz="4" w:space="0" w:color="auto"/>
              <w:bottom w:val="single" w:sz="4" w:space="0" w:color="auto"/>
              <w:right w:val="single" w:sz="4" w:space="0" w:color="auto"/>
            </w:tcBorders>
            <w:shd w:val="clear" w:color="auto" w:fill="auto"/>
            <w:hideMark/>
          </w:tcPr>
          <w:p w14:paraId="03424527" w14:textId="77777777" w:rsidR="00097B92" w:rsidRPr="00A36DD3" w:rsidRDefault="00097B92" w:rsidP="007B17E7">
            <w:r w:rsidRPr="00A36DD3">
              <w:t>CHN12a - Overall Average Total Tariff (S4-S6)</w:t>
            </w:r>
          </w:p>
        </w:tc>
      </w:tr>
      <w:tr w:rsidR="00097B92" w:rsidRPr="00003E6D" w14:paraId="3745CB83" w14:textId="77777777" w:rsidTr="001C5D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
        </w:trPr>
        <w:tc>
          <w:tcPr>
            <w:tcW w:w="9371" w:type="dxa"/>
            <w:tcBorders>
              <w:top w:val="nil"/>
              <w:left w:val="single" w:sz="4" w:space="0" w:color="auto"/>
              <w:bottom w:val="single" w:sz="4" w:space="0" w:color="auto"/>
              <w:right w:val="single" w:sz="4" w:space="0" w:color="auto"/>
            </w:tcBorders>
            <w:shd w:val="clear" w:color="auto" w:fill="auto"/>
            <w:hideMark/>
          </w:tcPr>
          <w:p w14:paraId="2482F63A" w14:textId="77777777" w:rsidR="00097B92" w:rsidRPr="00A36DD3" w:rsidRDefault="00097B92" w:rsidP="007B17E7">
            <w:r w:rsidRPr="00A36DD3">
              <w:t>CHN12b - Average Total Tariff SIMD Quintile 1</w:t>
            </w:r>
          </w:p>
        </w:tc>
      </w:tr>
      <w:tr w:rsidR="00097B92" w:rsidRPr="00003E6D" w14:paraId="77C6CDB2" w14:textId="77777777" w:rsidTr="001C5D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
        </w:trPr>
        <w:tc>
          <w:tcPr>
            <w:tcW w:w="9371" w:type="dxa"/>
            <w:tcBorders>
              <w:top w:val="single" w:sz="4" w:space="0" w:color="auto"/>
              <w:left w:val="single" w:sz="4" w:space="0" w:color="auto"/>
              <w:bottom w:val="single" w:sz="4" w:space="0" w:color="auto"/>
              <w:right w:val="single" w:sz="4" w:space="0" w:color="auto"/>
            </w:tcBorders>
            <w:shd w:val="clear" w:color="auto" w:fill="auto"/>
            <w:hideMark/>
          </w:tcPr>
          <w:p w14:paraId="0B9D3304" w14:textId="77777777" w:rsidR="00097B92" w:rsidRPr="00A36DD3" w:rsidRDefault="00097B92" w:rsidP="007B17E7">
            <w:r w:rsidRPr="00A36DD3">
              <w:t>CHN12c - Average Total Tariff SIMD Quintile 2</w:t>
            </w:r>
          </w:p>
        </w:tc>
      </w:tr>
      <w:tr w:rsidR="00097B92" w:rsidRPr="00003E6D" w14:paraId="1C766648" w14:textId="77777777" w:rsidTr="001C5D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
        </w:trPr>
        <w:tc>
          <w:tcPr>
            <w:tcW w:w="9371" w:type="dxa"/>
            <w:tcBorders>
              <w:top w:val="nil"/>
              <w:left w:val="single" w:sz="4" w:space="0" w:color="auto"/>
              <w:bottom w:val="single" w:sz="4" w:space="0" w:color="auto"/>
              <w:right w:val="single" w:sz="4" w:space="0" w:color="auto"/>
            </w:tcBorders>
            <w:shd w:val="clear" w:color="auto" w:fill="auto"/>
            <w:hideMark/>
          </w:tcPr>
          <w:p w14:paraId="20CE0B0B" w14:textId="77777777" w:rsidR="00097B92" w:rsidRPr="00A36DD3" w:rsidRDefault="00097B92" w:rsidP="007B17E7">
            <w:r w:rsidRPr="00A36DD3">
              <w:t>CHN12d - Average Total Tariff SIMD Quintile 3</w:t>
            </w:r>
          </w:p>
        </w:tc>
      </w:tr>
      <w:tr w:rsidR="00097B92" w:rsidRPr="00003E6D" w14:paraId="08E87EA1" w14:textId="77777777" w:rsidTr="001C5D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
        </w:trPr>
        <w:tc>
          <w:tcPr>
            <w:tcW w:w="9371" w:type="dxa"/>
            <w:tcBorders>
              <w:top w:val="single" w:sz="4" w:space="0" w:color="auto"/>
              <w:left w:val="single" w:sz="4" w:space="0" w:color="auto"/>
              <w:bottom w:val="single" w:sz="4" w:space="0" w:color="auto"/>
              <w:right w:val="single" w:sz="4" w:space="0" w:color="auto"/>
            </w:tcBorders>
            <w:shd w:val="clear" w:color="auto" w:fill="auto"/>
            <w:hideMark/>
          </w:tcPr>
          <w:p w14:paraId="34691CA7" w14:textId="77777777" w:rsidR="00097B92" w:rsidRPr="00A36DD3" w:rsidRDefault="00097B92" w:rsidP="007B17E7">
            <w:r w:rsidRPr="00A36DD3">
              <w:t>CHN12e - Average Total Tariff SIMD Quintile 4</w:t>
            </w:r>
          </w:p>
        </w:tc>
      </w:tr>
      <w:tr w:rsidR="00097B92" w:rsidRPr="00003E6D" w14:paraId="0945FA6B" w14:textId="77777777" w:rsidTr="001C5D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
        </w:trPr>
        <w:tc>
          <w:tcPr>
            <w:tcW w:w="9371" w:type="dxa"/>
            <w:tcBorders>
              <w:top w:val="nil"/>
              <w:left w:val="single" w:sz="4" w:space="0" w:color="auto"/>
              <w:bottom w:val="single" w:sz="4" w:space="0" w:color="auto"/>
              <w:right w:val="single" w:sz="4" w:space="0" w:color="auto"/>
            </w:tcBorders>
            <w:shd w:val="clear" w:color="auto" w:fill="auto"/>
            <w:hideMark/>
          </w:tcPr>
          <w:p w14:paraId="5A4E9697" w14:textId="77777777" w:rsidR="00097B92" w:rsidRPr="00A36DD3" w:rsidRDefault="00097B92" w:rsidP="007B17E7">
            <w:r w:rsidRPr="00A36DD3">
              <w:t>CHN12f - Average Total Tariff SIMD Quintile 5</w:t>
            </w:r>
          </w:p>
        </w:tc>
      </w:tr>
      <w:tr w:rsidR="00097B92" w:rsidRPr="00003E6D" w14:paraId="393067B7" w14:textId="77777777" w:rsidTr="001C5D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
        </w:trPr>
        <w:tc>
          <w:tcPr>
            <w:tcW w:w="9371" w:type="dxa"/>
            <w:tcBorders>
              <w:top w:val="single" w:sz="4" w:space="0" w:color="auto"/>
              <w:left w:val="single" w:sz="4" w:space="0" w:color="auto"/>
              <w:bottom w:val="single" w:sz="4" w:space="0" w:color="auto"/>
              <w:right w:val="single" w:sz="4" w:space="0" w:color="auto"/>
            </w:tcBorders>
            <w:shd w:val="clear" w:color="auto" w:fill="auto"/>
          </w:tcPr>
          <w:p w14:paraId="5CA4A220" w14:textId="77777777" w:rsidR="00097B92" w:rsidRPr="00097B92" w:rsidRDefault="00097B92" w:rsidP="007B17E7">
            <w:r w:rsidRPr="00097B92">
              <w:t>CHN19a - School attendance rates (per 100 pupils)</w:t>
            </w:r>
          </w:p>
        </w:tc>
      </w:tr>
      <w:tr w:rsidR="00097B92" w14:paraId="19BDB10E" w14:textId="77777777" w:rsidTr="001C5D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
        </w:trPr>
        <w:tc>
          <w:tcPr>
            <w:tcW w:w="9371" w:type="dxa"/>
            <w:tcBorders>
              <w:top w:val="single" w:sz="4" w:space="0" w:color="auto"/>
              <w:left w:val="single" w:sz="4" w:space="0" w:color="auto"/>
              <w:bottom w:val="single" w:sz="4" w:space="0" w:color="auto"/>
              <w:right w:val="single" w:sz="4" w:space="0" w:color="auto"/>
            </w:tcBorders>
            <w:shd w:val="clear" w:color="auto" w:fill="auto"/>
          </w:tcPr>
          <w:p w14:paraId="1107A57C" w14:textId="77777777" w:rsidR="00097B92" w:rsidRPr="00097B92" w:rsidRDefault="00097B92" w:rsidP="007B17E7">
            <w:r w:rsidRPr="00097B92">
              <w:t>CHN19b - School attendance rates (per 100 looked after children)</w:t>
            </w:r>
          </w:p>
        </w:tc>
      </w:tr>
      <w:tr w:rsidR="00097B92" w14:paraId="2EC3EE5F" w14:textId="77777777" w:rsidTr="001C5D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
        </w:trPr>
        <w:tc>
          <w:tcPr>
            <w:tcW w:w="9371" w:type="dxa"/>
            <w:tcBorders>
              <w:top w:val="single" w:sz="4" w:space="0" w:color="auto"/>
              <w:left w:val="single" w:sz="4" w:space="0" w:color="auto"/>
              <w:bottom w:val="single" w:sz="4" w:space="0" w:color="auto"/>
              <w:right w:val="single" w:sz="4" w:space="0" w:color="auto"/>
            </w:tcBorders>
            <w:shd w:val="clear" w:color="auto" w:fill="auto"/>
          </w:tcPr>
          <w:p w14:paraId="1D3E24A7" w14:textId="77777777" w:rsidR="00097B92" w:rsidRPr="00097B92" w:rsidRDefault="00097B92" w:rsidP="007B17E7">
            <w:r w:rsidRPr="00097B92">
              <w:t>CHN20a - School exclusion Rates (per 1000 pupils)</w:t>
            </w:r>
          </w:p>
        </w:tc>
      </w:tr>
      <w:tr w:rsidR="00097B92" w14:paraId="0842505F" w14:textId="77777777" w:rsidTr="001C5D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
        </w:trPr>
        <w:tc>
          <w:tcPr>
            <w:tcW w:w="9371" w:type="dxa"/>
            <w:tcBorders>
              <w:top w:val="single" w:sz="4" w:space="0" w:color="auto"/>
              <w:left w:val="single" w:sz="4" w:space="0" w:color="auto"/>
              <w:bottom w:val="single" w:sz="4" w:space="0" w:color="auto"/>
              <w:right w:val="single" w:sz="4" w:space="0" w:color="auto"/>
            </w:tcBorders>
            <w:shd w:val="clear" w:color="auto" w:fill="auto"/>
          </w:tcPr>
          <w:p w14:paraId="2D9C8635" w14:textId="77777777" w:rsidR="00097B92" w:rsidRPr="00097B92" w:rsidRDefault="00097B92" w:rsidP="007B17E7">
            <w:r w:rsidRPr="00097B92">
              <w:t>CHN20b - School exclusion rates (per 1000 looked after children)</w:t>
            </w:r>
          </w:p>
        </w:tc>
      </w:tr>
      <w:tr w:rsidR="00097B92" w14:paraId="434FD6B5" w14:textId="77777777" w:rsidTr="001C5D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
        </w:trPr>
        <w:tc>
          <w:tcPr>
            <w:tcW w:w="9371" w:type="dxa"/>
            <w:tcBorders>
              <w:top w:val="single" w:sz="4" w:space="0" w:color="auto"/>
              <w:left w:val="single" w:sz="4" w:space="0" w:color="auto"/>
              <w:bottom w:val="single" w:sz="4" w:space="0" w:color="auto"/>
              <w:right w:val="single" w:sz="4" w:space="0" w:color="auto"/>
            </w:tcBorders>
            <w:shd w:val="clear" w:color="auto" w:fill="auto"/>
          </w:tcPr>
          <w:p w14:paraId="73121317" w14:textId="2401F291" w:rsidR="00E66D60" w:rsidRPr="00097B92" w:rsidRDefault="00097B92" w:rsidP="00CA0619">
            <w:r w:rsidRPr="00097B92">
              <w:t>CHN23 - % LAC with more than 1 placement in the last year (Aug-July)</w:t>
            </w:r>
          </w:p>
        </w:tc>
      </w:tr>
      <w:tr w:rsidR="00097B92" w:rsidRPr="00003E6D" w14:paraId="46A5A094" w14:textId="77777777" w:rsidTr="001C5D19">
        <w:trPr>
          <w:trHeight w:val="340"/>
          <w:tblHeader/>
        </w:trPr>
        <w:tc>
          <w:tcPr>
            <w:tcW w:w="9371" w:type="dxa"/>
            <w:shd w:val="clear" w:color="000000" w:fill="D9D9D9"/>
            <w:hideMark/>
          </w:tcPr>
          <w:p w14:paraId="51CC4F41" w14:textId="77777777" w:rsidR="00097B92" w:rsidRPr="00003E6D" w:rsidRDefault="00097B92" w:rsidP="007B17E7">
            <w:pPr>
              <w:rPr>
                <w:b/>
                <w:bCs/>
                <w:highlight w:val="yellow"/>
              </w:rPr>
            </w:pPr>
            <w:r w:rsidRPr="004F3A0C">
              <w:rPr>
                <w:b/>
              </w:rPr>
              <w:lastRenderedPageBreak/>
              <w:t>C</w:t>
            </w:r>
            <w:r>
              <w:rPr>
                <w:b/>
              </w:rPr>
              <w:t>orporate Assets</w:t>
            </w:r>
          </w:p>
        </w:tc>
      </w:tr>
      <w:tr w:rsidR="00097B92" w:rsidRPr="00003E6D" w14:paraId="1E8446A1" w14:textId="77777777" w:rsidTr="001C5D19">
        <w:trPr>
          <w:trHeight w:val="340"/>
        </w:trPr>
        <w:tc>
          <w:tcPr>
            <w:tcW w:w="9371" w:type="dxa"/>
            <w:shd w:val="clear" w:color="auto" w:fill="auto"/>
          </w:tcPr>
          <w:p w14:paraId="5B0E2F8C" w14:textId="77777777" w:rsidR="00097B92" w:rsidRPr="00A36DD3" w:rsidRDefault="00097B92" w:rsidP="007B17E7">
            <w:r w:rsidRPr="00A36DD3">
              <w:t>CAST1 - Asset Management – Suitability for use</w:t>
            </w:r>
          </w:p>
        </w:tc>
      </w:tr>
      <w:tr w:rsidR="00097B92" w:rsidRPr="00003E6D" w14:paraId="04A51146" w14:textId="77777777" w:rsidTr="001C5D19">
        <w:trPr>
          <w:trHeight w:val="340"/>
        </w:trPr>
        <w:tc>
          <w:tcPr>
            <w:tcW w:w="9371" w:type="dxa"/>
            <w:shd w:val="clear" w:color="auto" w:fill="auto"/>
          </w:tcPr>
          <w:p w14:paraId="539645DC" w14:textId="77777777" w:rsidR="00097B92" w:rsidRPr="00A36DD3" w:rsidRDefault="00097B92" w:rsidP="007B17E7">
            <w:r w:rsidRPr="00A36DD3">
              <w:t>CAST2 - Asset Management - Condition</w:t>
            </w:r>
          </w:p>
        </w:tc>
      </w:tr>
      <w:tr w:rsidR="00097B92" w:rsidRPr="00003E6D" w14:paraId="5E31830E" w14:textId="77777777" w:rsidTr="001C5D19">
        <w:trPr>
          <w:trHeight w:val="340"/>
          <w:tblHeader/>
        </w:trPr>
        <w:tc>
          <w:tcPr>
            <w:tcW w:w="9371" w:type="dxa"/>
            <w:shd w:val="clear" w:color="000000" w:fill="D9D9D9"/>
            <w:hideMark/>
          </w:tcPr>
          <w:p w14:paraId="52CA925F" w14:textId="77777777" w:rsidR="00097B92" w:rsidRPr="00003E6D" w:rsidRDefault="00097B92" w:rsidP="007B17E7">
            <w:pPr>
              <w:rPr>
                <w:b/>
                <w:bCs/>
                <w:highlight w:val="yellow"/>
              </w:rPr>
            </w:pPr>
            <w:r>
              <w:rPr>
                <w:b/>
              </w:rPr>
              <w:t>Corporate Services</w:t>
            </w:r>
          </w:p>
        </w:tc>
      </w:tr>
      <w:tr w:rsidR="00097B92" w:rsidRPr="00003E6D" w14:paraId="093EB489" w14:textId="77777777" w:rsidTr="001C5D19">
        <w:trPr>
          <w:trHeight w:val="340"/>
        </w:trPr>
        <w:tc>
          <w:tcPr>
            <w:tcW w:w="9371" w:type="dxa"/>
            <w:shd w:val="clear" w:color="auto" w:fill="auto"/>
          </w:tcPr>
          <w:p w14:paraId="2C7D9B76" w14:textId="77777777" w:rsidR="00097B92" w:rsidRPr="00003E6D" w:rsidRDefault="00097B92" w:rsidP="007B17E7">
            <w:pPr>
              <w:rPr>
                <w:highlight w:val="yellow"/>
              </w:rPr>
            </w:pPr>
            <w:r w:rsidRPr="00097B92">
              <w:t>Corp1 - Central Support Services as a proportion of running costs</w:t>
            </w:r>
          </w:p>
        </w:tc>
      </w:tr>
      <w:tr w:rsidR="00097B92" w:rsidRPr="00003E6D" w14:paraId="65AD29B1" w14:textId="77777777" w:rsidTr="001C5D19">
        <w:trPr>
          <w:trHeight w:val="340"/>
        </w:trPr>
        <w:tc>
          <w:tcPr>
            <w:tcW w:w="9371" w:type="dxa"/>
            <w:shd w:val="clear" w:color="auto" w:fill="auto"/>
          </w:tcPr>
          <w:p w14:paraId="45A0B0DA" w14:textId="77777777" w:rsidR="00097B92" w:rsidRPr="00A36DD3" w:rsidRDefault="00097B92" w:rsidP="007B17E7">
            <w:r w:rsidRPr="00A36DD3">
              <w:t>Corp3b - Women managers in top 5% of earners</w:t>
            </w:r>
          </w:p>
        </w:tc>
      </w:tr>
      <w:tr w:rsidR="00097B92" w:rsidRPr="00003E6D" w14:paraId="63DB37B6" w14:textId="77777777" w:rsidTr="001C5D19">
        <w:trPr>
          <w:trHeight w:val="340"/>
        </w:trPr>
        <w:tc>
          <w:tcPr>
            <w:tcW w:w="9371" w:type="dxa"/>
            <w:shd w:val="clear" w:color="auto" w:fill="auto"/>
          </w:tcPr>
          <w:p w14:paraId="3F256B81" w14:textId="77777777" w:rsidR="00097B92" w:rsidRPr="00A36DD3" w:rsidRDefault="00097B92" w:rsidP="007B17E7">
            <w:r w:rsidRPr="00A36DD3">
              <w:t>Corp3c - Gender Pay Gap</w:t>
            </w:r>
          </w:p>
        </w:tc>
      </w:tr>
      <w:tr w:rsidR="00097B92" w:rsidRPr="00003E6D" w14:paraId="2F3C75CB" w14:textId="77777777" w:rsidTr="001C5D19">
        <w:trPr>
          <w:trHeight w:val="340"/>
        </w:trPr>
        <w:tc>
          <w:tcPr>
            <w:tcW w:w="9371" w:type="dxa"/>
            <w:shd w:val="clear" w:color="auto" w:fill="auto"/>
          </w:tcPr>
          <w:p w14:paraId="6BF537E0" w14:textId="77777777" w:rsidR="00097B92" w:rsidRPr="00A36DD3" w:rsidRDefault="00097B92" w:rsidP="007B17E7">
            <w:r w:rsidRPr="00A36DD3">
              <w:t xml:space="preserve">Corp4 - </w:t>
            </w:r>
            <w:r>
              <w:rPr>
                <w:rFonts w:eastAsia="Times New Roman"/>
                <w:lang w:eastAsia="en-GB"/>
              </w:rPr>
              <w:t>Council Tax Collection cost per dwelling</w:t>
            </w:r>
          </w:p>
        </w:tc>
      </w:tr>
      <w:tr w:rsidR="00097B92" w:rsidRPr="00003E6D" w14:paraId="11C3685C" w14:textId="77777777" w:rsidTr="001C5D19">
        <w:trPr>
          <w:trHeight w:val="340"/>
        </w:trPr>
        <w:tc>
          <w:tcPr>
            <w:tcW w:w="9371" w:type="dxa"/>
            <w:shd w:val="clear" w:color="auto" w:fill="auto"/>
          </w:tcPr>
          <w:p w14:paraId="3D7FBAD3" w14:textId="77777777" w:rsidR="00097B92" w:rsidRPr="00A36DD3" w:rsidRDefault="00097B92" w:rsidP="007B17E7">
            <w:r w:rsidRPr="00A36DD3">
              <w:t xml:space="preserve">Corp6a - Sickness </w:t>
            </w:r>
            <w:r>
              <w:t>absence days per teacher</w:t>
            </w:r>
            <w:r w:rsidRPr="00A36DD3">
              <w:t xml:space="preserve"> </w:t>
            </w:r>
          </w:p>
        </w:tc>
      </w:tr>
      <w:tr w:rsidR="00097B92" w:rsidRPr="00003E6D" w14:paraId="4AD296C2" w14:textId="77777777" w:rsidTr="001C5D19">
        <w:trPr>
          <w:trHeight w:val="340"/>
        </w:trPr>
        <w:tc>
          <w:tcPr>
            <w:tcW w:w="9371" w:type="dxa"/>
            <w:shd w:val="clear" w:color="auto" w:fill="auto"/>
          </w:tcPr>
          <w:p w14:paraId="10875E27" w14:textId="77777777" w:rsidR="00097B92" w:rsidRPr="00B157D2" w:rsidRDefault="00097B92" w:rsidP="007B17E7">
            <w:r w:rsidRPr="00B157D2">
              <w:rPr>
                <w:rFonts w:eastAsia="Times New Roman"/>
                <w:lang w:eastAsia="en-GB"/>
              </w:rPr>
              <w:t>Corp6b - Sickness absence days per employee (non-teacher)</w:t>
            </w:r>
          </w:p>
        </w:tc>
      </w:tr>
      <w:tr w:rsidR="00097B92" w:rsidRPr="00003E6D" w14:paraId="0633A88D" w14:textId="77777777" w:rsidTr="001C5D19">
        <w:trPr>
          <w:trHeight w:val="340"/>
        </w:trPr>
        <w:tc>
          <w:tcPr>
            <w:tcW w:w="9371" w:type="dxa"/>
            <w:shd w:val="clear" w:color="auto" w:fill="auto"/>
          </w:tcPr>
          <w:p w14:paraId="0BEE715D" w14:textId="77777777" w:rsidR="00097B92" w:rsidRPr="00A36DD3" w:rsidRDefault="00097B92" w:rsidP="007B17E7">
            <w:r w:rsidRPr="00A36DD3">
              <w:t>Corp7 - Council Tax - Annual % received</w:t>
            </w:r>
          </w:p>
        </w:tc>
      </w:tr>
      <w:tr w:rsidR="00097B92" w:rsidRPr="00003E6D" w14:paraId="3ECFE6D6" w14:textId="77777777" w:rsidTr="001C5D19">
        <w:trPr>
          <w:trHeight w:val="340"/>
        </w:trPr>
        <w:tc>
          <w:tcPr>
            <w:tcW w:w="9371" w:type="dxa"/>
            <w:shd w:val="clear" w:color="auto" w:fill="auto"/>
          </w:tcPr>
          <w:p w14:paraId="06D5CDB7" w14:textId="77777777" w:rsidR="00097B92" w:rsidRPr="00A36DD3" w:rsidRDefault="00097B92" w:rsidP="007B17E7">
            <w:r w:rsidRPr="00A36DD3">
              <w:t>Corp8 - Invoices Payment within 30 days</w:t>
            </w:r>
          </w:p>
        </w:tc>
      </w:tr>
      <w:tr w:rsidR="00097B92" w:rsidRPr="00003E6D" w14:paraId="29EAEC16" w14:textId="77777777" w:rsidTr="001C5D19">
        <w:trPr>
          <w:trHeight w:val="340"/>
          <w:tblHeader/>
        </w:trPr>
        <w:tc>
          <w:tcPr>
            <w:tcW w:w="9371" w:type="dxa"/>
            <w:shd w:val="clear" w:color="000000" w:fill="D9D9D9"/>
            <w:hideMark/>
          </w:tcPr>
          <w:p w14:paraId="0B691170" w14:textId="77777777" w:rsidR="00097B92" w:rsidRPr="00A36DD3" w:rsidRDefault="00097B92" w:rsidP="007B17E7">
            <w:pPr>
              <w:rPr>
                <w:b/>
                <w:bCs/>
              </w:rPr>
            </w:pPr>
            <w:r w:rsidRPr="00A36DD3">
              <w:rPr>
                <w:b/>
              </w:rPr>
              <w:t>Culture and Leisure Services</w:t>
            </w:r>
          </w:p>
        </w:tc>
      </w:tr>
      <w:tr w:rsidR="00097B92" w:rsidRPr="00003E6D" w14:paraId="1F24DB15" w14:textId="77777777" w:rsidTr="001C5D19">
        <w:trPr>
          <w:trHeight w:val="340"/>
        </w:trPr>
        <w:tc>
          <w:tcPr>
            <w:tcW w:w="9371" w:type="dxa"/>
            <w:shd w:val="clear" w:color="auto" w:fill="auto"/>
            <w:hideMark/>
          </w:tcPr>
          <w:p w14:paraId="346FDC83" w14:textId="267DDE25" w:rsidR="00097B92" w:rsidRPr="00A36DD3" w:rsidRDefault="00584B80" w:rsidP="007B17E7">
            <w:r>
              <w:t>C&amp;L1a – Cost per attendance at Sports facilities</w:t>
            </w:r>
          </w:p>
        </w:tc>
      </w:tr>
      <w:tr w:rsidR="00097B92" w:rsidRPr="00003E6D" w14:paraId="020BC669" w14:textId="77777777" w:rsidTr="001C5D19">
        <w:trPr>
          <w:trHeight w:val="340"/>
        </w:trPr>
        <w:tc>
          <w:tcPr>
            <w:tcW w:w="9371" w:type="dxa"/>
            <w:shd w:val="clear" w:color="auto" w:fill="auto"/>
            <w:hideMark/>
          </w:tcPr>
          <w:p w14:paraId="63F57956" w14:textId="77777777" w:rsidR="00097B92" w:rsidRPr="00A36DD3" w:rsidRDefault="00097B92" w:rsidP="007B17E7">
            <w:r w:rsidRPr="00A36DD3">
              <w:t>C&amp;L2a - NET cost per visit to libraries</w:t>
            </w:r>
          </w:p>
        </w:tc>
      </w:tr>
      <w:tr w:rsidR="00097B92" w:rsidRPr="00003E6D" w14:paraId="53A3CE28" w14:textId="77777777" w:rsidTr="001C5D19">
        <w:trPr>
          <w:trHeight w:val="340"/>
        </w:trPr>
        <w:tc>
          <w:tcPr>
            <w:tcW w:w="9371" w:type="dxa"/>
            <w:shd w:val="clear" w:color="auto" w:fill="auto"/>
            <w:hideMark/>
          </w:tcPr>
          <w:p w14:paraId="18C768F0" w14:textId="77777777" w:rsidR="00097B92" w:rsidRPr="00A36DD3" w:rsidRDefault="00097B92" w:rsidP="007B17E7">
            <w:r w:rsidRPr="00A36DD3">
              <w:t>C&amp;L3a - NET cost per museum visit</w:t>
            </w:r>
          </w:p>
        </w:tc>
      </w:tr>
      <w:tr w:rsidR="00097B92" w:rsidRPr="00003E6D" w14:paraId="721E356D" w14:textId="77777777" w:rsidTr="001C5D19">
        <w:trPr>
          <w:trHeight w:val="340"/>
        </w:trPr>
        <w:tc>
          <w:tcPr>
            <w:tcW w:w="9371" w:type="dxa"/>
            <w:shd w:val="clear" w:color="auto" w:fill="auto"/>
            <w:hideMark/>
          </w:tcPr>
          <w:p w14:paraId="4E28C885" w14:textId="77777777" w:rsidR="00097B92" w:rsidRPr="00A36DD3" w:rsidRDefault="00097B92" w:rsidP="007B17E7">
            <w:r w:rsidRPr="00A36DD3">
              <w:t>C&amp;L4a - NET cost of parks &amp; open spaces per 1,000 population</w:t>
            </w:r>
          </w:p>
        </w:tc>
      </w:tr>
      <w:tr w:rsidR="00097B92" w:rsidRPr="00003E6D" w14:paraId="34D87BD7" w14:textId="77777777" w:rsidTr="001C5D19">
        <w:trPr>
          <w:trHeight w:val="340"/>
        </w:trPr>
        <w:tc>
          <w:tcPr>
            <w:tcW w:w="9371" w:type="dxa"/>
            <w:shd w:val="clear" w:color="auto" w:fill="auto"/>
            <w:hideMark/>
          </w:tcPr>
          <w:p w14:paraId="0BF48A84" w14:textId="77777777" w:rsidR="00097B92" w:rsidRPr="00A36DD3" w:rsidRDefault="00097B92" w:rsidP="007B17E7">
            <w:r w:rsidRPr="00A36DD3">
              <w:t>C&amp;L5a - % adults satisfied - libraries [3 year rolled averages]</w:t>
            </w:r>
          </w:p>
        </w:tc>
      </w:tr>
      <w:tr w:rsidR="00097B92" w:rsidRPr="00003E6D" w14:paraId="71DE0E65" w14:textId="77777777" w:rsidTr="001C5D19">
        <w:trPr>
          <w:trHeight w:val="340"/>
        </w:trPr>
        <w:tc>
          <w:tcPr>
            <w:tcW w:w="9371" w:type="dxa"/>
            <w:shd w:val="clear" w:color="auto" w:fill="auto"/>
            <w:hideMark/>
          </w:tcPr>
          <w:p w14:paraId="7013C7FC" w14:textId="77777777" w:rsidR="00097B92" w:rsidRPr="00A36DD3" w:rsidRDefault="00097B92" w:rsidP="007B17E7">
            <w:r w:rsidRPr="00A36DD3">
              <w:t>C&amp;L5b - % adults satisfied - parks &amp; open spaces [3 year rolled averages]</w:t>
            </w:r>
          </w:p>
        </w:tc>
      </w:tr>
      <w:tr w:rsidR="00097B92" w:rsidRPr="00003E6D" w14:paraId="091B2D66" w14:textId="77777777" w:rsidTr="001C5D19">
        <w:trPr>
          <w:trHeight w:val="340"/>
        </w:trPr>
        <w:tc>
          <w:tcPr>
            <w:tcW w:w="9371" w:type="dxa"/>
            <w:shd w:val="clear" w:color="auto" w:fill="auto"/>
            <w:hideMark/>
          </w:tcPr>
          <w:p w14:paraId="6EDB2E07" w14:textId="77777777" w:rsidR="00097B92" w:rsidRPr="00A36DD3" w:rsidRDefault="00097B92" w:rsidP="007B17E7">
            <w:r w:rsidRPr="00A36DD3">
              <w:t>C&amp;L5c - % adults satisfied - museums &amp; galleries [3 year rolled averages]</w:t>
            </w:r>
          </w:p>
        </w:tc>
      </w:tr>
      <w:tr w:rsidR="00097B92" w:rsidRPr="00003E6D" w14:paraId="0A15F7E4" w14:textId="77777777" w:rsidTr="001C5D19">
        <w:trPr>
          <w:trHeight w:val="340"/>
        </w:trPr>
        <w:tc>
          <w:tcPr>
            <w:tcW w:w="9371" w:type="dxa"/>
            <w:shd w:val="clear" w:color="auto" w:fill="auto"/>
            <w:hideMark/>
          </w:tcPr>
          <w:p w14:paraId="72A9548E" w14:textId="77777777" w:rsidR="00097B92" w:rsidRPr="00A36DD3" w:rsidRDefault="00097B92" w:rsidP="007B17E7">
            <w:r w:rsidRPr="00A36DD3">
              <w:t>C&amp;L5d - % adults satisfied leisure facilities [3 year rolled averages]</w:t>
            </w:r>
          </w:p>
        </w:tc>
      </w:tr>
      <w:tr w:rsidR="00097B92" w:rsidRPr="00003E6D" w14:paraId="1FBA7859" w14:textId="77777777" w:rsidTr="001C5D19">
        <w:trPr>
          <w:trHeight w:val="340"/>
          <w:tblHeader/>
        </w:trPr>
        <w:tc>
          <w:tcPr>
            <w:tcW w:w="9371" w:type="dxa"/>
            <w:shd w:val="clear" w:color="000000" w:fill="D9D9D9"/>
            <w:hideMark/>
          </w:tcPr>
          <w:p w14:paraId="5D5963BD" w14:textId="77777777" w:rsidR="00097B92" w:rsidRPr="00A36DD3" w:rsidRDefault="00097B92" w:rsidP="007B17E7">
            <w:pPr>
              <w:rPr>
                <w:b/>
                <w:bCs/>
              </w:rPr>
            </w:pPr>
            <w:r w:rsidRPr="00A36DD3">
              <w:rPr>
                <w:b/>
                <w:bCs/>
              </w:rPr>
              <w:t>Economic Development</w:t>
            </w:r>
          </w:p>
        </w:tc>
      </w:tr>
      <w:tr w:rsidR="00097B92" w:rsidRPr="00097B92" w14:paraId="5FAFA0B7" w14:textId="77777777" w:rsidTr="001C5D19">
        <w:trPr>
          <w:trHeight w:val="340"/>
        </w:trPr>
        <w:tc>
          <w:tcPr>
            <w:tcW w:w="9371" w:type="dxa"/>
            <w:shd w:val="clear" w:color="auto" w:fill="auto"/>
          </w:tcPr>
          <w:p w14:paraId="4FA7BE5B" w14:textId="77777777" w:rsidR="00097B92" w:rsidRPr="00097B92" w:rsidRDefault="00097B92" w:rsidP="007B17E7">
            <w:r w:rsidRPr="00097B92">
              <w:t>ECON1 - Percentage of Unemployed People Assisted into work</w:t>
            </w:r>
          </w:p>
        </w:tc>
      </w:tr>
      <w:tr w:rsidR="00097B92" w:rsidRPr="00097B92" w14:paraId="7A3345CE" w14:textId="77777777" w:rsidTr="001C5D19">
        <w:trPr>
          <w:trHeight w:val="340"/>
        </w:trPr>
        <w:tc>
          <w:tcPr>
            <w:tcW w:w="9371" w:type="dxa"/>
            <w:shd w:val="clear" w:color="auto" w:fill="auto"/>
          </w:tcPr>
          <w:p w14:paraId="6FB56A4A" w14:textId="77777777" w:rsidR="00097B92" w:rsidRPr="00097B92" w:rsidRDefault="00097B92" w:rsidP="007B17E7">
            <w:r w:rsidRPr="00097B92">
              <w:t>ECON2 - Cost per planning application</w:t>
            </w:r>
          </w:p>
        </w:tc>
      </w:tr>
      <w:tr w:rsidR="00097B92" w:rsidRPr="00097B92" w14:paraId="3EBD5EF5" w14:textId="77777777" w:rsidTr="001C5D19">
        <w:trPr>
          <w:trHeight w:val="340"/>
        </w:trPr>
        <w:tc>
          <w:tcPr>
            <w:tcW w:w="9371" w:type="dxa"/>
            <w:shd w:val="clear" w:color="auto" w:fill="auto"/>
          </w:tcPr>
          <w:p w14:paraId="1C09EFF7" w14:textId="77777777" w:rsidR="00097B92" w:rsidRPr="00097B92" w:rsidRDefault="00097B92" w:rsidP="007B17E7">
            <w:r w:rsidRPr="00097B92">
              <w:t>ECON 3 - Average Time (weeks) Per Planning Application</w:t>
            </w:r>
          </w:p>
        </w:tc>
      </w:tr>
      <w:tr w:rsidR="00097B92" w:rsidRPr="00097B92" w14:paraId="7A3EC030" w14:textId="77777777" w:rsidTr="001C5D19">
        <w:trPr>
          <w:trHeight w:val="340"/>
        </w:trPr>
        <w:tc>
          <w:tcPr>
            <w:tcW w:w="9371" w:type="dxa"/>
            <w:shd w:val="clear" w:color="auto" w:fill="auto"/>
          </w:tcPr>
          <w:p w14:paraId="01F0A77D" w14:textId="77777777" w:rsidR="00097B92" w:rsidRPr="00097B92" w:rsidRDefault="00097B92" w:rsidP="007B17E7">
            <w:r w:rsidRPr="00097B92">
              <w:t>ECON4-Total direct spend with Highland small and medium sized enterprises</w:t>
            </w:r>
          </w:p>
        </w:tc>
      </w:tr>
      <w:tr w:rsidR="00097B92" w:rsidRPr="00097B92" w14:paraId="5AF73606" w14:textId="77777777" w:rsidTr="001C5D19">
        <w:trPr>
          <w:cantSplit/>
          <w:trHeight w:val="340"/>
        </w:trPr>
        <w:tc>
          <w:tcPr>
            <w:tcW w:w="9371" w:type="dxa"/>
            <w:shd w:val="clear" w:color="auto" w:fill="auto"/>
          </w:tcPr>
          <w:p w14:paraId="545FE92C" w14:textId="0B941835" w:rsidR="00CA0619" w:rsidRPr="00097B92" w:rsidRDefault="00097B92" w:rsidP="007B17E7">
            <w:r w:rsidRPr="00097B92">
              <w:t>ECON 5 - No of business gateway start-ups per 10,000 population</w:t>
            </w:r>
          </w:p>
        </w:tc>
      </w:tr>
      <w:tr w:rsidR="00097B92" w:rsidRPr="00097B92" w14:paraId="5CF0FD98" w14:textId="77777777" w:rsidTr="001C5D19">
        <w:trPr>
          <w:cantSplit/>
          <w:trHeight w:val="340"/>
          <w:tblHeader/>
        </w:trPr>
        <w:tc>
          <w:tcPr>
            <w:tcW w:w="9371" w:type="dxa"/>
            <w:shd w:val="clear" w:color="000000" w:fill="D9D9D9"/>
            <w:hideMark/>
          </w:tcPr>
          <w:p w14:paraId="36328D12" w14:textId="77777777" w:rsidR="00097B92" w:rsidRPr="00097B92" w:rsidRDefault="00097B92" w:rsidP="007B17E7">
            <w:pPr>
              <w:rPr>
                <w:b/>
                <w:bCs/>
              </w:rPr>
            </w:pPr>
            <w:r w:rsidRPr="00097B92">
              <w:rPr>
                <w:b/>
                <w:bCs/>
              </w:rPr>
              <w:t>Environmental Services</w:t>
            </w:r>
          </w:p>
        </w:tc>
      </w:tr>
      <w:tr w:rsidR="00097B92" w:rsidRPr="00097B92" w14:paraId="1518B62F" w14:textId="77777777" w:rsidTr="001C5D19">
        <w:trPr>
          <w:trHeight w:val="340"/>
        </w:trPr>
        <w:tc>
          <w:tcPr>
            <w:tcW w:w="9371" w:type="dxa"/>
            <w:shd w:val="clear" w:color="auto" w:fill="auto"/>
          </w:tcPr>
          <w:p w14:paraId="243D8B42" w14:textId="77777777" w:rsidR="00097B92" w:rsidRPr="00097B92" w:rsidRDefault="00097B92" w:rsidP="007B17E7">
            <w:r w:rsidRPr="00097B92">
              <w:t>ENV1a - Net cost of Waste collection per premises</w:t>
            </w:r>
          </w:p>
        </w:tc>
      </w:tr>
      <w:tr w:rsidR="00097B92" w:rsidRPr="00097B92" w14:paraId="72B39C68" w14:textId="77777777" w:rsidTr="001C5D19">
        <w:trPr>
          <w:trHeight w:val="340"/>
        </w:trPr>
        <w:tc>
          <w:tcPr>
            <w:tcW w:w="9371" w:type="dxa"/>
            <w:shd w:val="clear" w:color="auto" w:fill="auto"/>
          </w:tcPr>
          <w:p w14:paraId="7011F067" w14:textId="77777777" w:rsidR="00097B92" w:rsidRPr="00097B92" w:rsidRDefault="00097B92" w:rsidP="007B17E7">
            <w:r w:rsidRPr="00097B92">
              <w:lastRenderedPageBreak/>
              <w:t>ENV2a - Net cost per Waste disposal per premises</w:t>
            </w:r>
          </w:p>
        </w:tc>
      </w:tr>
      <w:tr w:rsidR="00097B92" w:rsidRPr="00097B92" w14:paraId="53556623" w14:textId="77777777" w:rsidTr="001C5D19">
        <w:trPr>
          <w:trHeight w:val="340"/>
        </w:trPr>
        <w:tc>
          <w:tcPr>
            <w:tcW w:w="9371" w:type="dxa"/>
            <w:shd w:val="clear" w:color="auto" w:fill="auto"/>
          </w:tcPr>
          <w:p w14:paraId="6F843312" w14:textId="77777777" w:rsidR="00097B92" w:rsidRPr="00097B92" w:rsidRDefault="00097B92" w:rsidP="007B17E7">
            <w:r w:rsidRPr="00097B92">
              <w:t>ENV3a - Net cost of street cleaning per 1,000 population</w:t>
            </w:r>
          </w:p>
        </w:tc>
      </w:tr>
      <w:tr w:rsidR="00097B92" w:rsidRPr="00097B92" w14:paraId="78A0D985" w14:textId="77777777" w:rsidTr="001C5D19">
        <w:trPr>
          <w:trHeight w:val="340"/>
        </w:trPr>
        <w:tc>
          <w:tcPr>
            <w:tcW w:w="9371" w:type="dxa"/>
            <w:shd w:val="clear" w:color="auto" w:fill="auto"/>
          </w:tcPr>
          <w:p w14:paraId="0E3C3C96" w14:textId="77777777" w:rsidR="00097B92" w:rsidRPr="00097B92" w:rsidRDefault="00097B92" w:rsidP="007B17E7">
            <w:r w:rsidRPr="00097B92">
              <w:t>ENV 3c - Street Cleanliness Score</w:t>
            </w:r>
          </w:p>
        </w:tc>
      </w:tr>
      <w:tr w:rsidR="00097B92" w:rsidRPr="00003E6D" w14:paraId="5D91EFB6" w14:textId="77777777" w:rsidTr="001C5D19">
        <w:trPr>
          <w:trHeight w:val="340"/>
        </w:trPr>
        <w:tc>
          <w:tcPr>
            <w:tcW w:w="9371" w:type="dxa"/>
            <w:shd w:val="clear" w:color="auto" w:fill="auto"/>
          </w:tcPr>
          <w:p w14:paraId="4DC5C072" w14:textId="77777777" w:rsidR="00097B92" w:rsidRPr="00097B92" w:rsidRDefault="00097B92" w:rsidP="007B17E7">
            <w:r w:rsidRPr="00097B92">
              <w:t>ENV4a - Cost of maintenance per km of roads</w:t>
            </w:r>
          </w:p>
        </w:tc>
      </w:tr>
      <w:tr w:rsidR="00097B92" w:rsidRPr="00003E6D" w14:paraId="5646DFEC" w14:textId="77777777" w:rsidTr="001C5D19">
        <w:trPr>
          <w:trHeight w:val="340"/>
        </w:trPr>
        <w:tc>
          <w:tcPr>
            <w:tcW w:w="9371" w:type="dxa"/>
            <w:shd w:val="clear" w:color="auto" w:fill="auto"/>
          </w:tcPr>
          <w:p w14:paraId="42A610C7" w14:textId="77777777" w:rsidR="00097B92" w:rsidRPr="00003E6D" w:rsidRDefault="00097B92" w:rsidP="007B17E7">
            <w:pPr>
              <w:rPr>
                <w:highlight w:val="yellow"/>
              </w:rPr>
            </w:pPr>
            <w:r w:rsidRPr="00A36DD3">
              <w:t>ENV4b - Road network - A Class</w:t>
            </w:r>
          </w:p>
        </w:tc>
      </w:tr>
      <w:tr w:rsidR="00097B92" w:rsidRPr="00003E6D" w14:paraId="47BEDDC0" w14:textId="77777777" w:rsidTr="001C5D19">
        <w:trPr>
          <w:trHeight w:val="340"/>
        </w:trPr>
        <w:tc>
          <w:tcPr>
            <w:tcW w:w="9371" w:type="dxa"/>
            <w:shd w:val="clear" w:color="auto" w:fill="auto"/>
          </w:tcPr>
          <w:p w14:paraId="78094523" w14:textId="77777777" w:rsidR="00097B92" w:rsidRPr="00A36DD3" w:rsidRDefault="00097B92" w:rsidP="007B17E7">
            <w:r w:rsidRPr="00A36DD3">
              <w:t>ENV4c - Road network - B Class</w:t>
            </w:r>
          </w:p>
        </w:tc>
      </w:tr>
      <w:tr w:rsidR="00097B92" w:rsidRPr="00003E6D" w14:paraId="6F1420C4" w14:textId="77777777" w:rsidTr="001C5D19">
        <w:trPr>
          <w:trHeight w:val="340"/>
        </w:trPr>
        <w:tc>
          <w:tcPr>
            <w:tcW w:w="9371" w:type="dxa"/>
            <w:shd w:val="clear" w:color="auto" w:fill="auto"/>
          </w:tcPr>
          <w:p w14:paraId="004DD988" w14:textId="77777777" w:rsidR="00097B92" w:rsidRPr="00A36DD3" w:rsidRDefault="00097B92" w:rsidP="007B17E7">
            <w:r w:rsidRPr="00A36DD3">
              <w:t>ENV4d - Road network - C Class</w:t>
            </w:r>
          </w:p>
        </w:tc>
      </w:tr>
      <w:tr w:rsidR="00097B92" w:rsidRPr="00097B92" w14:paraId="7101C954" w14:textId="77777777" w:rsidTr="001C5D19">
        <w:trPr>
          <w:trHeight w:val="340"/>
        </w:trPr>
        <w:tc>
          <w:tcPr>
            <w:tcW w:w="9371" w:type="dxa"/>
            <w:shd w:val="clear" w:color="auto" w:fill="auto"/>
          </w:tcPr>
          <w:p w14:paraId="7239EC4C" w14:textId="77777777" w:rsidR="00097B92" w:rsidRPr="00097B92" w:rsidRDefault="00097B92" w:rsidP="007B17E7">
            <w:r w:rsidRPr="00097B92">
              <w:t xml:space="preserve">ENV4e - Road Network - U Class </w:t>
            </w:r>
          </w:p>
        </w:tc>
      </w:tr>
      <w:tr w:rsidR="00097B92" w:rsidRPr="00097B92" w14:paraId="65EA2841" w14:textId="77777777" w:rsidTr="001C5D19">
        <w:trPr>
          <w:trHeight w:val="340"/>
        </w:trPr>
        <w:tc>
          <w:tcPr>
            <w:tcW w:w="9371" w:type="dxa"/>
            <w:shd w:val="clear" w:color="auto" w:fill="auto"/>
          </w:tcPr>
          <w:p w14:paraId="6C958636" w14:textId="77777777" w:rsidR="00097B92" w:rsidRPr="00097B92" w:rsidRDefault="00097B92" w:rsidP="007B17E7">
            <w:r w:rsidRPr="00097B92">
              <w:t xml:space="preserve">ENV5a - </w:t>
            </w:r>
            <w:r w:rsidRPr="00097B92">
              <w:rPr>
                <w:rFonts w:eastAsia="Times New Roman"/>
                <w:lang w:eastAsia="en-GB"/>
              </w:rPr>
              <w:t>Cost of Trading Standards, Money Advice, and Citizen Advice per 1000 population</w:t>
            </w:r>
          </w:p>
        </w:tc>
      </w:tr>
      <w:tr w:rsidR="00097B92" w:rsidRPr="00097B92" w14:paraId="65179EBE" w14:textId="77777777" w:rsidTr="001C5D19">
        <w:trPr>
          <w:trHeight w:val="340"/>
        </w:trPr>
        <w:tc>
          <w:tcPr>
            <w:tcW w:w="9371" w:type="dxa"/>
            <w:shd w:val="clear" w:color="auto" w:fill="auto"/>
          </w:tcPr>
          <w:p w14:paraId="63172179" w14:textId="77777777" w:rsidR="00097B92" w:rsidRPr="00097B92" w:rsidRDefault="00097B92" w:rsidP="007B17E7">
            <w:r w:rsidRPr="00097B92">
              <w:t>ENV5b - Cost of Environmental Health per 1000 population</w:t>
            </w:r>
          </w:p>
        </w:tc>
      </w:tr>
      <w:tr w:rsidR="00097B92" w:rsidRPr="00097B92" w14:paraId="0726CB0D" w14:textId="77777777" w:rsidTr="001C5D19">
        <w:trPr>
          <w:trHeight w:val="340"/>
        </w:trPr>
        <w:tc>
          <w:tcPr>
            <w:tcW w:w="9371" w:type="dxa"/>
            <w:shd w:val="clear" w:color="auto" w:fill="auto"/>
          </w:tcPr>
          <w:p w14:paraId="5631CAD8" w14:textId="77777777" w:rsidR="00097B92" w:rsidRPr="00097B92" w:rsidRDefault="00097B92" w:rsidP="007B17E7">
            <w:r w:rsidRPr="00097B92">
              <w:t>ENV7a - % adults satisfied - refuse collection</w:t>
            </w:r>
          </w:p>
        </w:tc>
      </w:tr>
      <w:tr w:rsidR="00097B92" w:rsidRPr="00097B92" w14:paraId="1D1756E0" w14:textId="77777777" w:rsidTr="001C5D19">
        <w:trPr>
          <w:trHeight w:val="340"/>
        </w:trPr>
        <w:tc>
          <w:tcPr>
            <w:tcW w:w="9371" w:type="dxa"/>
            <w:shd w:val="clear" w:color="auto" w:fill="auto"/>
          </w:tcPr>
          <w:p w14:paraId="764867D1" w14:textId="77777777" w:rsidR="00097B92" w:rsidRPr="00097B92" w:rsidRDefault="00097B92" w:rsidP="007B17E7">
            <w:r w:rsidRPr="00097B92">
              <w:t>ENV7b - % adults satisfied - street cleaning</w:t>
            </w:r>
          </w:p>
        </w:tc>
      </w:tr>
      <w:tr w:rsidR="00097B92" w:rsidRPr="00097B92" w14:paraId="7F08BE6E" w14:textId="77777777" w:rsidTr="001C5D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371" w:type="dxa"/>
            <w:tcBorders>
              <w:top w:val="nil"/>
              <w:left w:val="single" w:sz="4" w:space="0" w:color="auto"/>
              <w:bottom w:val="single" w:sz="4" w:space="0" w:color="auto"/>
              <w:right w:val="single" w:sz="4" w:space="0" w:color="auto"/>
            </w:tcBorders>
            <w:shd w:val="clear" w:color="auto" w:fill="auto"/>
            <w:hideMark/>
          </w:tcPr>
          <w:p w14:paraId="73FEDF4A" w14:textId="77777777" w:rsidR="00097B92" w:rsidRPr="00097B92" w:rsidRDefault="00097B92" w:rsidP="007B17E7">
            <w:r w:rsidRPr="00097B92">
              <w:t>ENV6 - % Household waste recycled and composted CY</w:t>
            </w:r>
          </w:p>
        </w:tc>
      </w:tr>
      <w:tr w:rsidR="00097B92" w:rsidRPr="00097B92" w14:paraId="4BB8107E" w14:textId="77777777" w:rsidTr="001C5D19">
        <w:trPr>
          <w:trHeight w:val="340"/>
          <w:tblHeader/>
        </w:trPr>
        <w:tc>
          <w:tcPr>
            <w:tcW w:w="9371" w:type="dxa"/>
            <w:shd w:val="clear" w:color="000000" w:fill="D9D9D9"/>
          </w:tcPr>
          <w:p w14:paraId="4A70EA47" w14:textId="77777777" w:rsidR="00097B92" w:rsidRPr="00097B92" w:rsidRDefault="00097B92" w:rsidP="007B17E7">
            <w:pPr>
              <w:rPr>
                <w:b/>
                <w:bCs/>
              </w:rPr>
            </w:pPr>
            <w:r w:rsidRPr="00097B92">
              <w:rPr>
                <w:b/>
                <w:bCs/>
              </w:rPr>
              <w:t>Housing Services</w:t>
            </w:r>
          </w:p>
        </w:tc>
      </w:tr>
      <w:tr w:rsidR="00097B92" w:rsidRPr="00097B92" w14:paraId="7C43B047" w14:textId="77777777" w:rsidTr="001C5D19">
        <w:trPr>
          <w:trHeight w:val="340"/>
        </w:trPr>
        <w:tc>
          <w:tcPr>
            <w:tcW w:w="9371" w:type="dxa"/>
            <w:shd w:val="clear" w:color="auto" w:fill="auto"/>
          </w:tcPr>
          <w:p w14:paraId="6F5D926E" w14:textId="77777777" w:rsidR="00097B92" w:rsidRPr="00097B92" w:rsidRDefault="00097B92" w:rsidP="007B17E7">
            <w:r w:rsidRPr="00097B92">
              <w:t>HSN1/SHR31 - Gross rent arrears as % of rent due</w:t>
            </w:r>
          </w:p>
        </w:tc>
      </w:tr>
      <w:tr w:rsidR="00097B92" w:rsidRPr="00003E6D" w14:paraId="0DDA5602" w14:textId="77777777" w:rsidTr="001C5D19">
        <w:trPr>
          <w:trHeight w:val="340"/>
        </w:trPr>
        <w:tc>
          <w:tcPr>
            <w:tcW w:w="9371" w:type="dxa"/>
            <w:shd w:val="clear" w:color="auto" w:fill="auto"/>
          </w:tcPr>
          <w:p w14:paraId="4BCE866F" w14:textId="77777777" w:rsidR="00097B92" w:rsidRPr="00097B92" w:rsidRDefault="00097B92" w:rsidP="007B17E7">
            <w:r w:rsidRPr="00097B92">
              <w:t>HSN2/SHR34 - % rent loss through voids</w:t>
            </w:r>
          </w:p>
        </w:tc>
      </w:tr>
      <w:tr w:rsidR="00097B92" w:rsidRPr="00003E6D" w14:paraId="0C585E6B" w14:textId="77777777" w:rsidTr="001C5D19">
        <w:trPr>
          <w:trHeight w:val="340"/>
        </w:trPr>
        <w:tc>
          <w:tcPr>
            <w:tcW w:w="9371" w:type="dxa"/>
            <w:shd w:val="clear" w:color="auto" w:fill="auto"/>
          </w:tcPr>
          <w:p w14:paraId="0C223FB4" w14:textId="77777777" w:rsidR="00097B92" w:rsidRPr="00A36DD3" w:rsidRDefault="00097B92" w:rsidP="007B17E7">
            <w:r w:rsidRPr="00A36DD3">
              <w:t>HSN3/SHR7 - SHQS - % total meeting SHQS</w:t>
            </w:r>
          </w:p>
        </w:tc>
      </w:tr>
      <w:tr w:rsidR="00097B92" w:rsidRPr="00003E6D" w14:paraId="5AF230C3" w14:textId="77777777" w:rsidTr="001C5D19">
        <w:trPr>
          <w:trHeight w:val="340"/>
        </w:trPr>
        <w:tc>
          <w:tcPr>
            <w:tcW w:w="9371" w:type="dxa"/>
            <w:shd w:val="clear" w:color="auto" w:fill="auto"/>
          </w:tcPr>
          <w:p w14:paraId="352AD622" w14:textId="77777777" w:rsidR="00097B92" w:rsidRPr="00097B92" w:rsidRDefault="00097B92" w:rsidP="007B17E7">
            <w:r w:rsidRPr="00097B92">
              <w:t>HSN4b/SHR12 - Average time to complete non-emergency repairs [days]</w:t>
            </w:r>
          </w:p>
        </w:tc>
      </w:tr>
      <w:tr w:rsidR="00097B92" w:rsidRPr="00003E6D" w14:paraId="160EA1EE" w14:textId="77777777" w:rsidTr="001C5D19">
        <w:trPr>
          <w:trHeight w:val="340"/>
        </w:trPr>
        <w:tc>
          <w:tcPr>
            <w:tcW w:w="9371" w:type="dxa"/>
            <w:shd w:val="clear" w:color="auto" w:fill="auto"/>
          </w:tcPr>
          <w:p w14:paraId="1845939E" w14:textId="77777777" w:rsidR="00097B92" w:rsidRPr="00097B92" w:rsidRDefault="00097B92" w:rsidP="007B17E7">
            <w:r w:rsidRPr="00097B92">
              <w:t xml:space="preserve">HSN5/SHR8 - % </w:t>
            </w:r>
            <w:r w:rsidRPr="00097B92">
              <w:rPr>
                <w:rFonts w:eastAsia="Times New Roman"/>
                <w:lang w:eastAsia="en-GB"/>
              </w:rPr>
              <w:t>properties at or above National Home Energy Rating or Standard Assessment Procedure ratings</w:t>
            </w:r>
          </w:p>
        </w:tc>
      </w:tr>
      <w:tr w:rsidR="00097B92" w:rsidRPr="00003E6D" w14:paraId="2DA7362C" w14:textId="77777777" w:rsidTr="001C5D19">
        <w:trPr>
          <w:trHeight w:val="340"/>
          <w:tblHeader/>
        </w:trPr>
        <w:tc>
          <w:tcPr>
            <w:tcW w:w="9371" w:type="dxa"/>
            <w:shd w:val="clear" w:color="000000" w:fill="D9D9D9"/>
            <w:hideMark/>
          </w:tcPr>
          <w:p w14:paraId="67C750E6" w14:textId="77777777" w:rsidR="00097B92" w:rsidRPr="00A36DD3" w:rsidRDefault="00097B92" w:rsidP="007B17E7">
            <w:pPr>
              <w:rPr>
                <w:b/>
                <w:bCs/>
              </w:rPr>
            </w:pPr>
            <w:r w:rsidRPr="00A36DD3">
              <w:rPr>
                <w:b/>
                <w:bCs/>
              </w:rPr>
              <w:t>Social Work Services</w:t>
            </w:r>
          </w:p>
        </w:tc>
      </w:tr>
      <w:tr w:rsidR="00097B92" w:rsidRPr="00003E6D" w14:paraId="2C04FA4A" w14:textId="77777777" w:rsidTr="001C5D19">
        <w:trPr>
          <w:trHeight w:val="340"/>
        </w:trPr>
        <w:tc>
          <w:tcPr>
            <w:tcW w:w="9371" w:type="dxa"/>
            <w:shd w:val="clear" w:color="auto" w:fill="auto"/>
          </w:tcPr>
          <w:p w14:paraId="02D613CC" w14:textId="77777777" w:rsidR="00097B92" w:rsidRPr="00097B92" w:rsidRDefault="00097B92" w:rsidP="007B17E7">
            <w:r w:rsidRPr="00097B92">
              <w:t>SW1 - Adult Home Care costs per hour aged 65 and over</w:t>
            </w:r>
          </w:p>
        </w:tc>
      </w:tr>
      <w:tr w:rsidR="00097B92" w:rsidRPr="00003E6D" w14:paraId="4296E943" w14:textId="77777777" w:rsidTr="001C5D19">
        <w:trPr>
          <w:trHeight w:val="340"/>
        </w:trPr>
        <w:tc>
          <w:tcPr>
            <w:tcW w:w="9371" w:type="dxa"/>
            <w:shd w:val="clear" w:color="auto" w:fill="auto"/>
          </w:tcPr>
          <w:p w14:paraId="5602A9EB" w14:textId="77777777" w:rsidR="00097B92" w:rsidRPr="00097B92" w:rsidRDefault="00097B92" w:rsidP="007B17E7">
            <w:r w:rsidRPr="00097B92">
              <w:t xml:space="preserve">SW2 - Direct payments spend on aged 18+ adults </w:t>
            </w:r>
          </w:p>
        </w:tc>
      </w:tr>
      <w:tr w:rsidR="00097B92" w:rsidRPr="00003E6D" w14:paraId="7A47CADA" w14:textId="77777777" w:rsidTr="001C5D19">
        <w:trPr>
          <w:trHeight w:val="340"/>
        </w:trPr>
        <w:tc>
          <w:tcPr>
            <w:tcW w:w="9371" w:type="dxa"/>
            <w:shd w:val="clear" w:color="auto" w:fill="auto"/>
          </w:tcPr>
          <w:p w14:paraId="327F87E8" w14:textId="77777777" w:rsidR="00097B92" w:rsidRPr="00A36DD3" w:rsidRDefault="00097B92" w:rsidP="007B17E7">
            <w:r w:rsidRPr="00A36DD3">
              <w:t>SW3 - % of aged 65+ with intensive needs receiving care at home</w:t>
            </w:r>
          </w:p>
        </w:tc>
      </w:tr>
      <w:tr w:rsidR="00097B92" w:rsidRPr="00003E6D" w14:paraId="254DCE8F" w14:textId="77777777" w:rsidTr="001C5D19">
        <w:trPr>
          <w:trHeight w:val="340"/>
        </w:trPr>
        <w:tc>
          <w:tcPr>
            <w:tcW w:w="9371" w:type="dxa"/>
            <w:shd w:val="clear" w:color="auto" w:fill="auto"/>
          </w:tcPr>
          <w:p w14:paraId="2F3DF845" w14:textId="77777777" w:rsidR="00097B92" w:rsidRPr="00A36DD3" w:rsidRDefault="00097B92" w:rsidP="007B17E7">
            <w:r w:rsidRPr="00A36DD3">
              <w:t>SW4a - % of adults receiving any care or support who rate it as excellent or good [3 year average]</w:t>
            </w:r>
          </w:p>
        </w:tc>
      </w:tr>
      <w:tr w:rsidR="00097B92" w:rsidRPr="00003E6D" w14:paraId="7A762D46" w14:textId="77777777" w:rsidTr="001C5D19">
        <w:trPr>
          <w:trHeight w:val="340"/>
        </w:trPr>
        <w:tc>
          <w:tcPr>
            <w:tcW w:w="9371" w:type="dxa"/>
            <w:shd w:val="clear" w:color="auto" w:fill="auto"/>
          </w:tcPr>
          <w:p w14:paraId="34FA049D" w14:textId="77777777" w:rsidR="00097B92" w:rsidRPr="00A36DD3" w:rsidRDefault="00097B92" w:rsidP="007B17E7">
            <w:r w:rsidRPr="00A36DD3">
              <w:t xml:space="preserve">SW4b - </w:t>
            </w:r>
            <w:r w:rsidRPr="00F22E18">
              <w:rPr>
                <w:rFonts w:eastAsia="Times New Roman"/>
                <w:lang w:eastAsia="en-GB"/>
              </w:rPr>
              <w:t>% of adults supported at home</w:t>
            </w:r>
            <w:r>
              <w:rPr>
                <w:rFonts w:eastAsia="Times New Roman"/>
                <w:lang w:eastAsia="en-GB"/>
              </w:rPr>
              <w:t xml:space="preserve"> who agree the services and support had an impact in improving or maintaining their quality of life</w:t>
            </w:r>
          </w:p>
        </w:tc>
      </w:tr>
      <w:tr w:rsidR="00097B92" w:rsidRPr="00003E6D" w14:paraId="2DDA600C" w14:textId="77777777" w:rsidTr="001C5D19">
        <w:trPr>
          <w:trHeight w:val="340"/>
        </w:trPr>
        <w:tc>
          <w:tcPr>
            <w:tcW w:w="9371" w:type="dxa"/>
            <w:shd w:val="clear" w:color="auto" w:fill="auto"/>
          </w:tcPr>
          <w:p w14:paraId="22B3D62F" w14:textId="77777777" w:rsidR="00097B92" w:rsidRPr="00A36DD3" w:rsidRDefault="00097B92" w:rsidP="007B17E7">
            <w:r w:rsidRPr="00A36DD3">
              <w:t xml:space="preserve">SW5 - Net Residential Costs per week Older Adults 65+ </w:t>
            </w:r>
          </w:p>
        </w:tc>
      </w:tr>
    </w:tbl>
    <w:p w14:paraId="2DA384C7" w14:textId="77777777" w:rsidR="00097B92" w:rsidRPr="00261101" w:rsidRDefault="00097B92" w:rsidP="00097B92"/>
    <w:p w14:paraId="558441D4" w14:textId="77777777" w:rsidR="00B02D7F" w:rsidRDefault="00B02D7F" w:rsidP="00402CBB">
      <w:pPr>
        <w:rPr>
          <w:rFonts w:ascii="Arial" w:hAnsi="Arial" w:cs="Arial"/>
          <w:sz w:val="24"/>
          <w:szCs w:val="24"/>
        </w:rPr>
      </w:pPr>
    </w:p>
    <w:sectPr w:rsidR="00B02D7F" w:rsidSect="00CA0619">
      <w:pgSz w:w="11906" w:h="16838"/>
      <w:pgMar w:top="851" w:right="1080" w:bottom="42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4D44"/>
    <w:multiLevelType w:val="hybridMultilevel"/>
    <w:tmpl w:val="EEE0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217C8D"/>
    <w:multiLevelType w:val="hybridMultilevel"/>
    <w:tmpl w:val="FDE28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3B2AC0"/>
    <w:multiLevelType w:val="hybridMultilevel"/>
    <w:tmpl w:val="41BAC9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9E05165"/>
    <w:multiLevelType w:val="hybridMultilevel"/>
    <w:tmpl w:val="F8C660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01D0A29"/>
    <w:multiLevelType w:val="hybridMultilevel"/>
    <w:tmpl w:val="0FD8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A1151A9"/>
    <w:multiLevelType w:val="hybridMultilevel"/>
    <w:tmpl w:val="7A6268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77C76CCF"/>
    <w:multiLevelType w:val="hybridMultilevel"/>
    <w:tmpl w:val="0FD22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FAF"/>
    <w:rsid w:val="0000556B"/>
    <w:rsid w:val="000157B6"/>
    <w:rsid w:val="00027223"/>
    <w:rsid w:val="000550F9"/>
    <w:rsid w:val="000705F4"/>
    <w:rsid w:val="00097A16"/>
    <w:rsid w:val="00097B92"/>
    <w:rsid w:val="00100E20"/>
    <w:rsid w:val="00112B2E"/>
    <w:rsid w:val="0011555A"/>
    <w:rsid w:val="001173B2"/>
    <w:rsid w:val="001C59F1"/>
    <w:rsid w:val="001C5D19"/>
    <w:rsid w:val="001F452C"/>
    <w:rsid w:val="00204DC8"/>
    <w:rsid w:val="00235084"/>
    <w:rsid w:val="002D1669"/>
    <w:rsid w:val="002D4ECF"/>
    <w:rsid w:val="002E0349"/>
    <w:rsid w:val="003235A4"/>
    <w:rsid w:val="0038297B"/>
    <w:rsid w:val="003860F2"/>
    <w:rsid w:val="003B4056"/>
    <w:rsid w:val="003D7FB5"/>
    <w:rsid w:val="00402CBB"/>
    <w:rsid w:val="00422A64"/>
    <w:rsid w:val="00436346"/>
    <w:rsid w:val="00436B7B"/>
    <w:rsid w:val="00451CF2"/>
    <w:rsid w:val="004658F2"/>
    <w:rsid w:val="0049359D"/>
    <w:rsid w:val="004B53F1"/>
    <w:rsid w:val="005171D1"/>
    <w:rsid w:val="005656AC"/>
    <w:rsid w:val="00584B80"/>
    <w:rsid w:val="005A1814"/>
    <w:rsid w:val="005C148F"/>
    <w:rsid w:val="005F561F"/>
    <w:rsid w:val="00612573"/>
    <w:rsid w:val="00615E97"/>
    <w:rsid w:val="006367DA"/>
    <w:rsid w:val="00654AC4"/>
    <w:rsid w:val="00655FBA"/>
    <w:rsid w:val="0065779A"/>
    <w:rsid w:val="006847A9"/>
    <w:rsid w:val="00695BAD"/>
    <w:rsid w:val="006E1F98"/>
    <w:rsid w:val="00737BE5"/>
    <w:rsid w:val="0075662A"/>
    <w:rsid w:val="007F41CD"/>
    <w:rsid w:val="00865158"/>
    <w:rsid w:val="008B114C"/>
    <w:rsid w:val="00951679"/>
    <w:rsid w:val="009C4FAF"/>
    <w:rsid w:val="00A32B5C"/>
    <w:rsid w:val="00A41320"/>
    <w:rsid w:val="00A6040C"/>
    <w:rsid w:val="00A667B7"/>
    <w:rsid w:val="00A87BB3"/>
    <w:rsid w:val="00AD507A"/>
    <w:rsid w:val="00AE25CE"/>
    <w:rsid w:val="00AF5F77"/>
    <w:rsid w:val="00B02D7F"/>
    <w:rsid w:val="00B04F16"/>
    <w:rsid w:val="00B22345"/>
    <w:rsid w:val="00B600BA"/>
    <w:rsid w:val="00BB0429"/>
    <w:rsid w:val="00BB11CD"/>
    <w:rsid w:val="00BC3E55"/>
    <w:rsid w:val="00BF6EAB"/>
    <w:rsid w:val="00C057C0"/>
    <w:rsid w:val="00C16B23"/>
    <w:rsid w:val="00C434CB"/>
    <w:rsid w:val="00CA0619"/>
    <w:rsid w:val="00D305CF"/>
    <w:rsid w:val="00D41FA3"/>
    <w:rsid w:val="00DE1E8F"/>
    <w:rsid w:val="00E63FAE"/>
    <w:rsid w:val="00E66D60"/>
    <w:rsid w:val="00EF6754"/>
    <w:rsid w:val="00F43C3F"/>
    <w:rsid w:val="00FD0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FAF"/>
    <w:pPr>
      <w:ind w:left="720"/>
      <w:contextualSpacing/>
    </w:pPr>
  </w:style>
  <w:style w:type="table" w:styleId="TableGrid">
    <w:name w:val="Table Grid"/>
    <w:basedOn w:val="TableNormal"/>
    <w:uiPriority w:val="59"/>
    <w:rsid w:val="009C4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1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14C"/>
    <w:rPr>
      <w:rFonts w:ascii="Tahoma" w:hAnsi="Tahoma" w:cs="Tahoma"/>
      <w:sz w:val="16"/>
      <w:szCs w:val="16"/>
    </w:rPr>
  </w:style>
  <w:style w:type="character" w:styleId="CommentReference">
    <w:name w:val="annotation reference"/>
    <w:basedOn w:val="DefaultParagraphFont"/>
    <w:uiPriority w:val="99"/>
    <w:semiHidden/>
    <w:unhideWhenUsed/>
    <w:rsid w:val="00097B92"/>
    <w:rPr>
      <w:sz w:val="16"/>
      <w:szCs w:val="16"/>
    </w:rPr>
  </w:style>
  <w:style w:type="paragraph" w:styleId="CommentText">
    <w:name w:val="annotation text"/>
    <w:basedOn w:val="Normal"/>
    <w:link w:val="CommentTextChar"/>
    <w:uiPriority w:val="99"/>
    <w:semiHidden/>
    <w:unhideWhenUsed/>
    <w:rsid w:val="00097B92"/>
    <w:pPr>
      <w:spacing w:after="0" w:line="240" w:lineRule="auto"/>
    </w:pPr>
    <w:rPr>
      <w:rFonts w:ascii="Arial" w:hAnsi="Arial" w:cs="Arial"/>
      <w:sz w:val="20"/>
      <w:szCs w:val="20"/>
    </w:rPr>
  </w:style>
  <w:style w:type="character" w:customStyle="1" w:styleId="CommentTextChar">
    <w:name w:val="Comment Text Char"/>
    <w:basedOn w:val="DefaultParagraphFont"/>
    <w:link w:val="CommentText"/>
    <w:uiPriority w:val="99"/>
    <w:semiHidden/>
    <w:rsid w:val="00097B92"/>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FAF"/>
    <w:pPr>
      <w:ind w:left="720"/>
      <w:contextualSpacing/>
    </w:pPr>
  </w:style>
  <w:style w:type="table" w:styleId="TableGrid">
    <w:name w:val="Table Grid"/>
    <w:basedOn w:val="TableNormal"/>
    <w:uiPriority w:val="59"/>
    <w:rsid w:val="009C4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1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14C"/>
    <w:rPr>
      <w:rFonts w:ascii="Tahoma" w:hAnsi="Tahoma" w:cs="Tahoma"/>
      <w:sz w:val="16"/>
      <w:szCs w:val="16"/>
    </w:rPr>
  </w:style>
  <w:style w:type="character" w:styleId="CommentReference">
    <w:name w:val="annotation reference"/>
    <w:basedOn w:val="DefaultParagraphFont"/>
    <w:uiPriority w:val="99"/>
    <w:semiHidden/>
    <w:unhideWhenUsed/>
    <w:rsid w:val="00097B92"/>
    <w:rPr>
      <w:sz w:val="16"/>
      <w:szCs w:val="16"/>
    </w:rPr>
  </w:style>
  <w:style w:type="paragraph" w:styleId="CommentText">
    <w:name w:val="annotation text"/>
    <w:basedOn w:val="Normal"/>
    <w:link w:val="CommentTextChar"/>
    <w:uiPriority w:val="99"/>
    <w:semiHidden/>
    <w:unhideWhenUsed/>
    <w:rsid w:val="00097B92"/>
    <w:pPr>
      <w:spacing w:after="0" w:line="240" w:lineRule="auto"/>
    </w:pPr>
    <w:rPr>
      <w:rFonts w:ascii="Arial" w:hAnsi="Arial" w:cs="Arial"/>
      <w:sz w:val="20"/>
      <w:szCs w:val="20"/>
    </w:rPr>
  </w:style>
  <w:style w:type="character" w:customStyle="1" w:styleId="CommentTextChar">
    <w:name w:val="Comment Text Char"/>
    <w:basedOn w:val="DefaultParagraphFont"/>
    <w:link w:val="CommentText"/>
    <w:uiPriority w:val="99"/>
    <w:semiHidden/>
    <w:rsid w:val="00097B92"/>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46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4940B0B90B3C45AC3B66976CC8A749" ma:contentTypeVersion="3" ma:contentTypeDescription="Create a new document." ma:contentTypeScope="" ma:versionID="767146292f7038ddf2b621a9c44e4152">
  <xsd:schema xmlns:xsd="http://www.w3.org/2001/XMLSchema" xmlns:xs="http://www.w3.org/2001/XMLSchema" xmlns:p="http://schemas.microsoft.com/office/2006/metadata/properties" xmlns:ns2="fd25535d-4964-412f-8c5a-ccd91a513471" xmlns:ns3="2708ed64-3cbe-4ab6-9cb7-fc1eea5f442e" targetNamespace="http://schemas.microsoft.com/office/2006/metadata/properties" ma:root="true" ma:fieldsID="8b187991466a452dc814d9a310e3eb43" ns2:_="" ns3:_="">
    <xsd:import namespace="fd25535d-4964-412f-8c5a-ccd91a513471"/>
    <xsd:import namespace="2708ed64-3cbe-4ab6-9cb7-fc1eea5f442e"/>
    <xsd:element name="properties">
      <xsd:complexType>
        <xsd:sequence>
          <xsd:element name="documentManagement">
            <xsd:complexType>
              <xsd:all>
                <xsd:element ref="ns2:_dlc_DocId" minOccurs="0"/>
                <xsd:element ref="ns2:_dlc_DocIdUrl" minOccurs="0"/>
                <xsd:element ref="ns2:_dlc_DocIdPersistId" minOccurs="0"/>
                <xsd:element ref="ns3:Report_x0020_Type" minOccurs="0"/>
                <xsd:element ref="ns3:Relates_x0020_To"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5535d-4964-412f-8c5a-ccd91a5134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08ed64-3cbe-4ab6-9cb7-fc1eea5f442e" elementFormDefault="qualified">
    <xsd:import namespace="http://schemas.microsoft.com/office/2006/documentManagement/types"/>
    <xsd:import namespace="http://schemas.microsoft.com/office/infopath/2007/PartnerControls"/>
    <xsd:element name="Report_x0020_Type" ma:index="11" nillable="true" ma:displayName="Report Type" ma:format="Dropdown" ma:internalName="Report_x0020_Type">
      <xsd:simpleType>
        <xsd:restriction base="dms:Choice">
          <xsd:enumeration value="Corporate Plan"/>
          <xsd:enumeration value="Highland Council"/>
          <xsd:enumeration value="WBM"/>
          <xsd:enumeration value="WSM"/>
          <xsd:enumeration value="ELT"/>
          <xsd:enumeration value="Service"/>
          <xsd:enumeration value="Resources"/>
          <xsd:enumeration value="Audit and Scrutiny"/>
          <xsd:enumeration value="Community Planning"/>
          <xsd:enumeration value="Performance"/>
          <xsd:enumeration value="FMT"/>
          <xsd:enumeration value="COG"/>
          <xsd:enumeration value="COSLA"/>
          <xsd:enumeration value="UHI"/>
        </xsd:restriction>
      </xsd:simpleType>
    </xsd:element>
    <xsd:element name="Relates_x0020_To" ma:index="12" nillable="true" ma:displayName="Relates To" ma:internalName="Relates_x0020_To">
      <xsd:simpleType>
        <xsd:restriction base="dms:Text">
          <xsd:maxLength value="255"/>
        </xsd:restriction>
      </xsd:simpleType>
    </xsd:element>
    <xsd:element name="Year" ma:index="13" nillable="true" ma:displayName="Year" ma:internalName="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Year xmlns="2708ed64-3cbe-4ab6-9cb7-fc1eea5f442e">2018</Year>
    <Report_x0020_Type xmlns="2708ed64-3cbe-4ab6-9cb7-fc1eea5f442e">WSM</Report_x0020_Type>
    <Relates_x0020_To xmlns="2708ed64-3cbe-4ab6-9cb7-fc1eea5f442e">Best Value SPI</Relates_x0020_To>
  </documentManagement>
</p:properties>
</file>

<file path=customXml/itemProps1.xml><?xml version="1.0" encoding="utf-8"?>
<ds:datastoreItem xmlns:ds="http://schemas.openxmlformats.org/officeDocument/2006/customXml" ds:itemID="{D33E466A-55B3-4EC7-A2E2-737E4C614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5535d-4964-412f-8c5a-ccd91a513471"/>
    <ds:schemaRef ds:uri="2708ed64-3cbe-4ab6-9cb7-fc1eea5f4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4208AF-C4FE-4C28-A2D2-22DF98B7720C}">
  <ds:schemaRefs>
    <ds:schemaRef ds:uri="http://schemas.microsoft.com/sharepoint/events"/>
  </ds:schemaRefs>
</ds:datastoreItem>
</file>

<file path=customXml/itemProps3.xml><?xml version="1.0" encoding="utf-8"?>
<ds:datastoreItem xmlns:ds="http://schemas.openxmlformats.org/officeDocument/2006/customXml" ds:itemID="{2DC5B109-7272-41E2-9176-1ED01F324D85}">
  <ds:schemaRefs>
    <ds:schemaRef ds:uri="http://schemas.microsoft.com/office/2006/metadata/customXsn"/>
  </ds:schemaRefs>
</ds:datastoreItem>
</file>

<file path=customXml/itemProps4.xml><?xml version="1.0" encoding="utf-8"?>
<ds:datastoreItem xmlns:ds="http://schemas.openxmlformats.org/officeDocument/2006/customXml" ds:itemID="{947C236B-87A3-4CB5-8A61-1B67DBD7B747}">
  <ds:schemaRefs>
    <ds:schemaRef ds:uri="http://schemas.microsoft.com/sharepoint/v3/contenttype/forms"/>
  </ds:schemaRefs>
</ds:datastoreItem>
</file>

<file path=customXml/itemProps5.xml><?xml version="1.0" encoding="utf-8"?>
<ds:datastoreItem xmlns:ds="http://schemas.openxmlformats.org/officeDocument/2006/customXml" ds:itemID="{38611CA7-6DDF-4178-A7E7-DEBC483DF172}">
  <ds:schemaRefs>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 ds:uri="http://purl.org/dc/terms/"/>
    <ds:schemaRef ds:uri="fd25535d-4964-412f-8c5a-ccd91a513471"/>
    <ds:schemaRef ds:uri="http://schemas.openxmlformats.org/package/2006/metadata/core-properties"/>
    <ds:schemaRef ds:uri="2708ed64-3cbe-4ab6-9cb7-fc1eea5f442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1609</Words>
  <Characters>9173</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10761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Johnston</dc:creator>
  <cp:lastModifiedBy>Carron McDiarmid</cp:lastModifiedBy>
  <cp:revision>2</cp:revision>
  <cp:lastPrinted>2017-12-18T11:50:00Z</cp:lastPrinted>
  <dcterms:created xsi:type="dcterms:W3CDTF">2018-02-09T14:01:00Z</dcterms:created>
  <dcterms:modified xsi:type="dcterms:W3CDTF">2018-02-09T14:01:00Z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0x0101008E4940B0B90B3C45AC3B66976CC8A749</vt:lpwstr>
  </property>
  <property fmtid="{D5CDD505-2E9C-101B-9397-08002B2CF9AE}" pid="3" name="_AdHocReviewCycleID">
    <vt:i4>-1178324124</vt:i4>
  </property>
  <property fmtid="{D5CDD505-2E9C-101B-9397-08002B2CF9AE}" pid="4" name="_NewReviewCycle">
    <vt:lpwstr/>
  </property>
  <property fmtid="{D5CDD505-2E9C-101B-9397-08002B2CF9AE}" pid="5" name="_EmailSubject">
    <vt:lpwstr>redesign up-dates</vt:lpwstr>
  </property>
  <property fmtid="{D5CDD505-2E9C-101B-9397-08002B2CF9AE}" pid="6" name="_AuthorEmail">
    <vt:lpwstr>carron.mcdiarmid@highland.gov.uk</vt:lpwstr>
  </property>
  <property fmtid="{D5CDD505-2E9C-101B-9397-08002B2CF9AE}" pid="7" name="_AuthorEmailDisplayName">
    <vt:lpwstr>Carron McDiarmid</vt:lpwstr>
  </property>
  <property fmtid="{D5CDD505-2E9C-101B-9397-08002B2CF9AE}" pid="9" name="_PreviousAdHocReviewCycleID">
    <vt:i4>854903667</vt:i4>
  </property>
</Properties>
</file>