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E854" w14:textId="77777777" w:rsidR="004B0E4C" w:rsidRPr="004B0E4C" w:rsidRDefault="004B0E4C" w:rsidP="004B0E4C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0FF2A7A6" w14:textId="254E43C4" w:rsidR="004B0E4C" w:rsidRPr="004B0E4C" w:rsidRDefault="004B0E4C" w:rsidP="004B0E4C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GRANTOWN ON SPEY</w:t>
      </w:r>
      <w:r w:rsidRPr="004B0E4C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 COMMON GOOD</w:t>
      </w:r>
    </w:p>
    <w:p w14:paraId="0FFE24AA" w14:textId="77777777" w:rsidR="00D933CC" w:rsidRDefault="004B0E4C" w:rsidP="004B0E4C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4B0E4C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CONSULTATION ON THE PROPOSAL TO </w:t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CHANGE THE USE OF GRANTOWN ON SPEY MARKET SQUARE</w:t>
      </w:r>
    </w:p>
    <w:p w14:paraId="6B164991" w14:textId="3F2F2DD5" w:rsidR="004B0E4C" w:rsidRPr="004B0E4C" w:rsidRDefault="004B0E4C" w:rsidP="004B0E4C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TO ALLOW FOR THE INTRODUCTION OF MANDATORY CHARGING FOR MARKET PITCHES, EVENTS AND STALLS.</w:t>
      </w:r>
    </w:p>
    <w:p w14:paraId="51113DB4" w14:textId="77777777" w:rsidR="004B0E4C" w:rsidRPr="004B0E4C" w:rsidRDefault="004B0E4C" w:rsidP="004B0E4C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4B0E4C">
        <w:rPr>
          <w:rFonts w:ascii="Calibri" w:eastAsia="Calibri" w:hAnsi="Calibri" w:cs="Times New Roman"/>
          <w:b/>
          <w:kern w:val="0"/>
          <w:u w:val="single"/>
          <w14:ligatures w14:val="none"/>
        </w:rPr>
        <w:t>DECISION</w:t>
      </w:r>
    </w:p>
    <w:p w14:paraId="1D791050" w14:textId="0BD01AA1" w:rsidR="004B0E4C" w:rsidRPr="004B0E4C" w:rsidRDefault="004B0E4C" w:rsidP="004B0E4C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4B0E4C">
        <w:rPr>
          <w:rFonts w:ascii="Calibri" w:eastAsia="Calibri" w:hAnsi="Calibri" w:cs="Times New Roman"/>
          <w:bCs/>
          <w:kern w:val="0"/>
          <w14:ligatures w14:val="none"/>
        </w:rPr>
        <w:t xml:space="preserve">On </w:t>
      </w:r>
      <w:r w:rsidR="00DF4E16">
        <w:rPr>
          <w:rFonts w:ascii="Calibri" w:eastAsia="Calibri" w:hAnsi="Calibri" w:cs="Times New Roman"/>
          <w:bCs/>
          <w:kern w:val="0"/>
          <w14:ligatures w14:val="none"/>
        </w:rPr>
        <w:t>3</w:t>
      </w:r>
      <w:r w:rsidRPr="004B0E4C">
        <w:rPr>
          <w:rFonts w:ascii="Calibri" w:eastAsia="Calibri" w:hAnsi="Calibri" w:cs="Times New Roman"/>
          <w:bCs/>
          <w:kern w:val="0"/>
          <w14:ligatures w14:val="none"/>
        </w:rPr>
        <w:t xml:space="preserve"> </w:t>
      </w:r>
      <w:r w:rsidR="00DF4E16">
        <w:rPr>
          <w:rFonts w:ascii="Calibri" w:eastAsia="Calibri" w:hAnsi="Calibri" w:cs="Times New Roman"/>
          <w:bCs/>
          <w:kern w:val="0"/>
          <w14:ligatures w14:val="none"/>
        </w:rPr>
        <w:t>June</w:t>
      </w:r>
      <w:r w:rsidRPr="004B0E4C">
        <w:rPr>
          <w:rFonts w:ascii="Calibri" w:eastAsia="Calibri" w:hAnsi="Calibri" w:cs="Times New Roman"/>
          <w:bCs/>
          <w:kern w:val="0"/>
          <w14:ligatures w14:val="none"/>
        </w:rPr>
        <w:t xml:space="preserve"> 202</w:t>
      </w:r>
      <w:r w:rsidR="00DF4E16">
        <w:rPr>
          <w:rFonts w:ascii="Calibri" w:eastAsia="Calibri" w:hAnsi="Calibri" w:cs="Times New Roman"/>
          <w:bCs/>
          <w:kern w:val="0"/>
          <w14:ligatures w14:val="none"/>
        </w:rPr>
        <w:t>4</w:t>
      </w:r>
      <w:r w:rsidRPr="004B0E4C">
        <w:rPr>
          <w:rFonts w:ascii="Calibri" w:eastAsia="Calibri" w:hAnsi="Calibri" w:cs="Times New Roman"/>
          <w:bCs/>
          <w:kern w:val="0"/>
          <w14:ligatures w14:val="none"/>
        </w:rPr>
        <w:t xml:space="preserve"> the </w:t>
      </w:r>
      <w:r w:rsidR="00DF4E16">
        <w:rPr>
          <w:rFonts w:ascii="Calibri" w:eastAsia="Calibri" w:hAnsi="Calibri" w:cs="Times New Roman"/>
          <w:bCs/>
          <w:kern w:val="0"/>
          <w14:ligatures w14:val="none"/>
        </w:rPr>
        <w:t>Badenoch &amp; Strathspey</w:t>
      </w:r>
      <w:r w:rsidRPr="004B0E4C">
        <w:rPr>
          <w:rFonts w:ascii="Calibri" w:eastAsia="Calibri" w:hAnsi="Calibri" w:cs="Times New Roman"/>
          <w:bCs/>
          <w:kern w:val="0"/>
          <w14:ligatures w14:val="none"/>
        </w:rPr>
        <w:t xml:space="preserve"> Area Committee considered the outcome of the public consultation conducted pursuant to section 104 Community Empowerment (Scotland) Act 2015 in respect of the  proposals detailed above. </w:t>
      </w:r>
    </w:p>
    <w:p w14:paraId="48739272" w14:textId="7BCEA840" w:rsidR="004B0E4C" w:rsidRDefault="004B0E4C" w:rsidP="004B0E4C">
      <w:pPr>
        <w:rPr>
          <w:rFonts w:ascii="Calibri" w:eastAsia="Calibri" w:hAnsi="Calibri" w:cs="Times New Roman"/>
          <w:kern w:val="0"/>
          <w14:ligatures w14:val="none"/>
        </w:rPr>
      </w:pPr>
      <w:r w:rsidRPr="004B0E4C">
        <w:rPr>
          <w:rFonts w:ascii="Calibri" w:eastAsia="Calibri" w:hAnsi="Calibri" w:cs="Times New Roman"/>
          <w:kern w:val="0"/>
          <w14:ligatures w14:val="none"/>
        </w:rPr>
        <w:t xml:space="preserve">Members considered the analysis of the outcome of the consultation and had regard to all representations received. Members debated </w:t>
      </w:r>
      <w:r w:rsidR="00A60D73">
        <w:rPr>
          <w:rFonts w:ascii="Calibri" w:eastAsia="Calibri" w:hAnsi="Calibri" w:cs="Times New Roman"/>
          <w:kern w:val="0"/>
          <w14:ligatures w14:val="none"/>
        </w:rPr>
        <w:t>the decision making options in respect of the consultation outcome namely:</w:t>
      </w:r>
    </w:p>
    <w:p w14:paraId="1543C844" w14:textId="2027B077" w:rsidR="00A60D73" w:rsidRDefault="00A60D73" w:rsidP="00A60D73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Proposal proceed as drawn.</w:t>
      </w:r>
    </w:p>
    <w:p w14:paraId="4AD0AB81" w14:textId="2DA97BC8" w:rsidR="00A60D73" w:rsidRDefault="00A60D73" w:rsidP="00A60D73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Proposal be amended.</w:t>
      </w:r>
    </w:p>
    <w:p w14:paraId="181DE48A" w14:textId="5748D531" w:rsidR="00A60D73" w:rsidRPr="00A60D73" w:rsidRDefault="00A60D73" w:rsidP="00A60D73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Proposal is refused.</w:t>
      </w:r>
    </w:p>
    <w:p w14:paraId="14C600E6" w14:textId="62A5EA95" w:rsidR="004B0E4C" w:rsidRDefault="00A60D73" w:rsidP="004B0E4C">
      <w:pPr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Although the recommendation of the report was that the proposal to change the use to mandatory charging should not proceed Members, after fully considering all the information, </w:t>
      </w:r>
      <w:r w:rsidR="00D933CC">
        <w:rPr>
          <w:rFonts w:ascii="Calibri" w:eastAsia="Calibri" w:hAnsi="Calibri" w:cs="Times New Roman"/>
          <w:kern w:val="0"/>
          <w14:ligatures w14:val="none"/>
        </w:rPr>
        <w:t>decided that the proposal as originally drawn should be approved. A motion to this effect was tabled, seconded and agreed.</w:t>
      </w:r>
    </w:p>
    <w:p w14:paraId="3B6B43B3" w14:textId="0552FB16" w:rsidR="00D933CC" w:rsidRDefault="00D933CC" w:rsidP="004B0E4C">
      <w:pPr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Decision</w:t>
      </w:r>
    </w:p>
    <w:p w14:paraId="0510B0D9" w14:textId="6522535D" w:rsidR="00D933CC" w:rsidRPr="004B0E4C" w:rsidRDefault="00D933CC" w:rsidP="004B0E4C">
      <w:pPr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The use of Grantown on Spey Market Square to be changed to allow for the introduction of mandatory charging for market pitches, events and stalls.</w:t>
      </w:r>
    </w:p>
    <w:p w14:paraId="0B1D3719" w14:textId="77777777" w:rsidR="004B0E4C" w:rsidRPr="004B0E4C" w:rsidRDefault="004B0E4C" w:rsidP="004B0E4C">
      <w:pPr>
        <w:rPr>
          <w:rFonts w:ascii="Calibri" w:eastAsia="Calibri" w:hAnsi="Calibri" w:cs="Times New Roman"/>
          <w:bCs/>
          <w:kern w:val="0"/>
          <w14:ligatures w14:val="none"/>
        </w:rPr>
      </w:pPr>
    </w:p>
    <w:p w14:paraId="7AD76EC1" w14:textId="77777777" w:rsidR="004B0E4C" w:rsidRPr="004B0E4C" w:rsidRDefault="004B0E4C" w:rsidP="004B0E4C">
      <w:pPr>
        <w:tabs>
          <w:tab w:val="left" w:pos="1020"/>
        </w:tabs>
        <w:ind w:left="284"/>
        <w:rPr>
          <w:rFonts w:ascii="Calibri" w:eastAsia="Calibri" w:hAnsi="Calibri" w:cs="Times New Roman"/>
          <w:b/>
          <w:kern w:val="0"/>
          <w14:ligatures w14:val="none"/>
        </w:rPr>
      </w:pPr>
    </w:p>
    <w:p w14:paraId="35C0D68E" w14:textId="77777777" w:rsidR="004B0E4C" w:rsidRPr="004B0E4C" w:rsidRDefault="004B0E4C" w:rsidP="004B0E4C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41F3C38D" w14:textId="77777777" w:rsidR="004B0E4C" w:rsidRPr="004B0E4C" w:rsidRDefault="004B0E4C" w:rsidP="004B0E4C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3FA1DA61" w14:textId="77777777" w:rsidR="004B0E4C" w:rsidRPr="004B0E4C" w:rsidRDefault="004B0E4C" w:rsidP="004B0E4C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3F439321" w14:textId="77777777" w:rsidR="004B0E4C" w:rsidRPr="004B0E4C" w:rsidRDefault="004B0E4C" w:rsidP="004B0E4C">
      <w:pPr>
        <w:spacing w:after="200" w:line="276" w:lineRule="auto"/>
        <w:ind w:left="1440"/>
        <w:contextualSpacing/>
        <w:rPr>
          <w:rFonts w:ascii="Calibri" w:eastAsia="Calibri" w:hAnsi="Calibri" w:cs="Times New Roman"/>
          <w:bCs/>
          <w:kern w:val="0"/>
          <w14:ligatures w14:val="none"/>
        </w:rPr>
      </w:pPr>
    </w:p>
    <w:p w14:paraId="1E70354D" w14:textId="77777777" w:rsidR="004B0E4C" w:rsidRPr="004B0E4C" w:rsidRDefault="004B0E4C" w:rsidP="004B0E4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1B99C6B" w14:textId="77777777" w:rsidR="004B0E4C" w:rsidRPr="004B0E4C" w:rsidRDefault="004B0E4C" w:rsidP="004B0E4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8B29FB8" w14:textId="77777777" w:rsidR="004B0E4C" w:rsidRPr="004B0E4C" w:rsidRDefault="004B0E4C" w:rsidP="004B0E4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7A6306E" w14:textId="77777777" w:rsidR="004B0E4C" w:rsidRPr="004B0E4C" w:rsidRDefault="004B0E4C" w:rsidP="004B0E4C">
      <w:pPr>
        <w:rPr>
          <w:rFonts w:ascii="Calibri" w:eastAsia="Calibri" w:hAnsi="Calibri" w:cs="Times New Roman"/>
          <w:kern w:val="0"/>
          <w14:ligatures w14:val="none"/>
        </w:rPr>
      </w:pPr>
    </w:p>
    <w:p w14:paraId="1D9CDCF5" w14:textId="77777777" w:rsidR="004B0E4C" w:rsidRPr="004B0E4C" w:rsidRDefault="004B0E4C" w:rsidP="004B0E4C">
      <w:pPr>
        <w:rPr>
          <w:rFonts w:ascii="Calibri" w:eastAsia="Calibri" w:hAnsi="Calibri" w:cs="Times New Roman"/>
          <w:kern w:val="0"/>
          <w14:ligatures w14:val="none"/>
        </w:rPr>
      </w:pPr>
    </w:p>
    <w:p w14:paraId="25D5532F" w14:textId="77777777" w:rsidR="004B0E4C" w:rsidRPr="004B0E4C" w:rsidRDefault="004B0E4C" w:rsidP="004B0E4C">
      <w:pPr>
        <w:rPr>
          <w:rFonts w:ascii="Calibri" w:eastAsia="Calibri" w:hAnsi="Calibri" w:cs="Times New Roman"/>
          <w:kern w:val="0"/>
          <w14:ligatures w14:val="none"/>
        </w:rPr>
      </w:pPr>
    </w:p>
    <w:p w14:paraId="03E5040D" w14:textId="77777777" w:rsidR="004B0E4C" w:rsidRPr="004B0E4C" w:rsidRDefault="004B0E4C" w:rsidP="004B0E4C">
      <w:pPr>
        <w:rPr>
          <w:rFonts w:ascii="Calibri" w:eastAsia="Calibri" w:hAnsi="Calibri" w:cs="Times New Roman"/>
          <w:kern w:val="0"/>
          <w14:ligatures w14:val="none"/>
        </w:rPr>
      </w:pPr>
    </w:p>
    <w:p w14:paraId="03D90F43" w14:textId="77777777" w:rsidR="004B0E4C" w:rsidRPr="004B0E4C" w:rsidRDefault="004B0E4C" w:rsidP="004B0E4C">
      <w:pPr>
        <w:rPr>
          <w:rFonts w:ascii="Calibri" w:eastAsia="Calibri" w:hAnsi="Calibri" w:cs="Times New Roman"/>
          <w:kern w:val="0"/>
          <w14:ligatures w14:val="none"/>
        </w:rPr>
      </w:pPr>
    </w:p>
    <w:p w14:paraId="392B3B15" w14:textId="77777777" w:rsidR="004B0E4C" w:rsidRPr="004B0E4C" w:rsidRDefault="004B0E4C" w:rsidP="004B0E4C">
      <w:pPr>
        <w:rPr>
          <w:rFonts w:ascii="Calibri" w:eastAsia="Calibri" w:hAnsi="Calibri" w:cs="Times New Roman"/>
          <w:kern w:val="0"/>
          <w14:ligatures w14:val="none"/>
        </w:rPr>
      </w:pPr>
    </w:p>
    <w:p w14:paraId="4A8661E1" w14:textId="77777777" w:rsidR="004B0E4C" w:rsidRPr="004B0E4C" w:rsidRDefault="004B0E4C" w:rsidP="004B0E4C">
      <w:pPr>
        <w:rPr>
          <w:rFonts w:ascii="Calibri" w:eastAsia="Calibri" w:hAnsi="Calibri" w:cs="Times New Roman"/>
          <w:kern w:val="0"/>
          <w14:ligatures w14:val="none"/>
        </w:rPr>
      </w:pPr>
    </w:p>
    <w:p w14:paraId="2065D8FF" w14:textId="77777777" w:rsidR="004B0E4C" w:rsidRPr="004B0E4C" w:rsidRDefault="004B0E4C" w:rsidP="004B0E4C">
      <w:pPr>
        <w:rPr>
          <w:rFonts w:ascii="Calibri" w:eastAsia="Calibri" w:hAnsi="Calibri" w:cs="Times New Roman"/>
          <w:kern w:val="0"/>
          <w14:ligatures w14:val="none"/>
        </w:rPr>
      </w:pPr>
    </w:p>
    <w:p w14:paraId="7E426375" w14:textId="77777777" w:rsidR="004B0E4C" w:rsidRPr="004B0E4C" w:rsidRDefault="004B0E4C" w:rsidP="004B0E4C">
      <w:pPr>
        <w:rPr>
          <w:rFonts w:ascii="Calibri" w:eastAsia="Calibri" w:hAnsi="Calibri" w:cs="Times New Roman"/>
          <w:kern w:val="0"/>
          <w14:ligatures w14:val="none"/>
        </w:rPr>
      </w:pPr>
    </w:p>
    <w:p w14:paraId="53EE81E1" w14:textId="77777777" w:rsidR="004B0E4C" w:rsidRPr="004B0E4C" w:rsidRDefault="004B0E4C" w:rsidP="004B0E4C">
      <w:pPr>
        <w:rPr>
          <w:rFonts w:ascii="Calibri" w:eastAsia="Calibri" w:hAnsi="Calibri" w:cs="Times New Roman"/>
          <w:kern w:val="0"/>
          <w14:ligatures w14:val="none"/>
        </w:rPr>
      </w:pPr>
    </w:p>
    <w:p w14:paraId="13A5BB8C" w14:textId="77777777" w:rsidR="004F155C" w:rsidRDefault="004F155C"/>
    <w:sectPr w:rsidR="004F155C" w:rsidSect="004B0E4C">
      <w:headerReference w:type="default" r:id="rId7"/>
      <w:footerReference w:type="default" r:id="rId8"/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13CF" w14:textId="77777777" w:rsidR="00D933CC" w:rsidRDefault="00D933CC" w:rsidP="00D933CC">
      <w:pPr>
        <w:spacing w:after="0" w:line="240" w:lineRule="auto"/>
      </w:pPr>
      <w:r>
        <w:separator/>
      </w:r>
    </w:p>
  </w:endnote>
  <w:endnote w:type="continuationSeparator" w:id="0">
    <w:p w14:paraId="3B83EDCC" w14:textId="77777777" w:rsidR="00D933CC" w:rsidRDefault="00D933CC" w:rsidP="00D9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89E9" w14:textId="4CA00479" w:rsidR="008A7307" w:rsidRDefault="00D933CC">
    <w:pPr>
      <w:pStyle w:val="Footer"/>
    </w:pPr>
    <w:r>
      <w:t>June</w:t>
    </w:r>
    <w:r w:rsidR="008A7307">
      <w:t xml:space="preserve"> 202</w:t>
    </w:r>
    <w:r>
      <w:t>4</w:t>
    </w:r>
  </w:p>
  <w:p w14:paraId="091983CB" w14:textId="77777777" w:rsidR="008A7307" w:rsidRDefault="008A7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2330" w14:textId="77777777" w:rsidR="00D933CC" w:rsidRDefault="00D933CC" w:rsidP="00D933CC">
      <w:pPr>
        <w:spacing w:after="0" w:line="240" w:lineRule="auto"/>
      </w:pPr>
      <w:r>
        <w:separator/>
      </w:r>
    </w:p>
  </w:footnote>
  <w:footnote w:type="continuationSeparator" w:id="0">
    <w:p w14:paraId="7FB17059" w14:textId="77777777" w:rsidR="00D933CC" w:rsidRDefault="00D933CC" w:rsidP="00D93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70AC" w14:textId="77777777" w:rsidR="008A7307" w:rsidRDefault="008A7307" w:rsidP="000250EE">
    <w:pPr>
      <w:pStyle w:val="Header"/>
      <w:jc w:val="right"/>
    </w:pPr>
    <w:r>
      <w:rPr>
        <w:noProof/>
      </w:rPr>
      <w:drawing>
        <wp:inline distT="0" distB="0" distL="0" distR="0" wp14:anchorId="17FE9B8C" wp14:editId="1DA1FB9D">
          <wp:extent cx="1409700" cy="7125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55" cy="72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6471D2" w14:textId="77777777" w:rsidR="008A7307" w:rsidRDefault="008A7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E372D"/>
    <w:multiLevelType w:val="hybridMultilevel"/>
    <w:tmpl w:val="E2ECF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70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C"/>
    <w:rsid w:val="004B0E4C"/>
    <w:rsid w:val="004F155C"/>
    <w:rsid w:val="00A60D73"/>
    <w:rsid w:val="00D933CC"/>
    <w:rsid w:val="00DF4E16"/>
    <w:rsid w:val="00E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3E78"/>
  <w15:chartTrackingRefBased/>
  <w15:docId w15:val="{C00A5E97-1CD3-45C1-9F28-C4AD4097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E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0E4C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B0E4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0E4C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B0E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Murdoch (Legal and Governance)</dc:creator>
  <cp:keywords/>
  <dc:description/>
  <cp:lastModifiedBy>Sara Murdoch (Legal and Governance)</cp:lastModifiedBy>
  <cp:revision>1</cp:revision>
  <dcterms:created xsi:type="dcterms:W3CDTF">2024-06-06T10:25:00Z</dcterms:created>
  <dcterms:modified xsi:type="dcterms:W3CDTF">2024-06-06T11:23:00Z</dcterms:modified>
</cp:coreProperties>
</file>