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418"/>
      </w:tblGrid>
      <w:tr w:rsidR="00AC55B3" w:rsidRPr="00AC55B3" w:rsidTr="006D5682">
        <w:trPr>
          <w:cantSplit/>
        </w:trPr>
        <w:tc>
          <w:tcPr>
            <w:tcW w:w="7513" w:type="dxa"/>
            <w:tcBorders>
              <w:top w:val="nil"/>
              <w:left w:val="nil"/>
              <w:bottom w:val="nil"/>
              <w:right w:val="single" w:sz="4" w:space="0" w:color="auto"/>
            </w:tcBorders>
          </w:tcPr>
          <w:p w:rsidR="00AC55B3" w:rsidRPr="00AC55B3" w:rsidRDefault="00AC55B3" w:rsidP="006D5682">
            <w:pPr>
              <w:keepNext/>
              <w:outlineLvl w:val="0"/>
              <w:rPr>
                <w:rFonts w:ascii="Arial" w:hAnsi="Arial" w:cs="Arial"/>
                <w:b/>
                <w:szCs w:val="24"/>
              </w:rPr>
            </w:pPr>
            <w:r w:rsidRPr="00AC55B3">
              <w:rPr>
                <w:rFonts w:ascii="Arial" w:hAnsi="Arial" w:cs="Arial"/>
                <w:b/>
                <w:szCs w:val="24"/>
              </w:rPr>
              <w:fldChar w:fldCharType="begin"/>
            </w:r>
            <w:r w:rsidRPr="00AC55B3">
              <w:rPr>
                <w:rFonts w:ascii="Arial" w:hAnsi="Arial" w:cs="Arial"/>
                <w:b/>
                <w:szCs w:val="24"/>
              </w:rPr>
              <w:instrText xml:space="preserve">  </w:instrText>
            </w:r>
            <w:r w:rsidRPr="00AC55B3">
              <w:rPr>
                <w:rFonts w:ascii="Arial" w:hAnsi="Arial" w:cs="Arial"/>
                <w:b/>
                <w:szCs w:val="24"/>
              </w:rPr>
              <w:fldChar w:fldCharType="end"/>
            </w:r>
          </w:p>
        </w:tc>
        <w:tc>
          <w:tcPr>
            <w:tcW w:w="1276" w:type="dxa"/>
            <w:tcBorders>
              <w:left w:val="nil"/>
            </w:tcBorders>
          </w:tcPr>
          <w:p w:rsidR="00AC55B3" w:rsidRPr="00AC55B3" w:rsidRDefault="00AC55B3" w:rsidP="006D5682">
            <w:pPr>
              <w:rPr>
                <w:rFonts w:ascii="Arial" w:hAnsi="Arial" w:cs="Arial"/>
                <w:szCs w:val="24"/>
              </w:rPr>
            </w:pPr>
            <w:r w:rsidRPr="00AC55B3">
              <w:rPr>
                <w:rFonts w:ascii="Arial" w:hAnsi="Arial" w:cs="Arial"/>
                <w:szCs w:val="24"/>
              </w:rPr>
              <w:t>Agenda item</w:t>
            </w:r>
          </w:p>
        </w:tc>
        <w:tc>
          <w:tcPr>
            <w:tcW w:w="1418" w:type="dxa"/>
            <w:tcBorders>
              <w:left w:val="nil"/>
            </w:tcBorders>
          </w:tcPr>
          <w:p w:rsidR="00AC55B3" w:rsidRPr="00AC55B3" w:rsidRDefault="00AC55B3" w:rsidP="006D5682">
            <w:pPr>
              <w:rPr>
                <w:rFonts w:ascii="Arial" w:hAnsi="Arial" w:cs="Arial"/>
                <w:b/>
                <w:szCs w:val="24"/>
              </w:rPr>
            </w:pPr>
          </w:p>
        </w:tc>
      </w:tr>
      <w:tr w:rsidR="00AC55B3" w:rsidRPr="00AC55B3" w:rsidTr="006D5682">
        <w:trPr>
          <w:cantSplit/>
        </w:trPr>
        <w:tc>
          <w:tcPr>
            <w:tcW w:w="7513" w:type="dxa"/>
            <w:tcBorders>
              <w:top w:val="nil"/>
              <w:left w:val="nil"/>
              <w:bottom w:val="nil"/>
              <w:right w:val="single" w:sz="4" w:space="0" w:color="auto"/>
            </w:tcBorders>
          </w:tcPr>
          <w:p w:rsidR="00AC55B3" w:rsidRPr="00AC55B3" w:rsidRDefault="00AC55B3" w:rsidP="006D5682">
            <w:pPr>
              <w:rPr>
                <w:rFonts w:ascii="Arial" w:hAnsi="Arial" w:cs="Arial"/>
                <w:b/>
                <w:szCs w:val="24"/>
              </w:rPr>
            </w:pPr>
            <w:r w:rsidRPr="00AC55B3">
              <w:rPr>
                <w:rFonts w:ascii="Arial" w:hAnsi="Arial" w:cs="Arial"/>
                <w:b/>
                <w:szCs w:val="24"/>
              </w:rPr>
              <w:fldChar w:fldCharType="begin"/>
            </w:r>
            <w:r w:rsidRPr="00AC55B3">
              <w:rPr>
                <w:rFonts w:ascii="Arial" w:hAnsi="Arial" w:cs="Arial"/>
                <w:b/>
                <w:szCs w:val="24"/>
              </w:rPr>
              <w:instrText xml:space="preserve">  </w:instrText>
            </w:r>
            <w:r w:rsidRPr="00AC55B3">
              <w:rPr>
                <w:rFonts w:ascii="Arial" w:hAnsi="Arial" w:cs="Arial"/>
                <w:b/>
                <w:szCs w:val="24"/>
              </w:rPr>
              <w:fldChar w:fldCharType="end"/>
            </w:r>
          </w:p>
        </w:tc>
        <w:tc>
          <w:tcPr>
            <w:tcW w:w="1276" w:type="dxa"/>
            <w:tcBorders>
              <w:left w:val="nil"/>
            </w:tcBorders>
          </w:tcPr>
          <w:p w:rsidR="00AC55B3" w:rsidRPr="00AC55B3" w:rsidRDefault="00AC55B3" w:rsidP="006D5682">
            <w:pPr>
              <w:rPr>
                <w:rFonts w:ascii="Arial" w:hAnsi="Arial" w:cs="Arial"/>
                <w:szCs w:val="24"/>
              </w:rPr>
            </w:pPr>
            <w:r w:rsidRPr="00AC55B3">
              <w:rPr>
                <w:rFonts w:ascii="Arial" w:hAnsi="Arial" w:cs="Arial"/>
                <w:szCs w:val="24"/>
              </w:rPr>
              <w:t xml:space="preserve">Report </w:t>
            </w:r>
          </w:p>
          <w:p w:rsidR="00AC55B3" w:rsidRPr="00AC55B3" w:rsidRDefault="00AC55B3" w:rsidP="006D5682">
            <w:pPr>
              <w:rPr>
                <w:rFonts w:ascii="Arial" w:hAnsi="Arial" w:cs="Arial"/>
                <w:szCs w:val="24"/>
              </w:rPr>
            </w:pPr>
            <w:r w:rsidRPr="00AC55B3">
              <w:rPr>
                <w:rFonts w:ascii="Arial" w:hAnsi="Arial" w:cs="Arial"/>
                <w:szCs w:val="24"/>
              </w:rPr>
              <w:t>no</w:t>
            </w:r>
          </w:p>
        </w:tc>
        <w:tc>
          <w:tcPr>
            <w:tcW w:w="1418" w:type="dxa"/>
            <w:tcBorders>
              <w:left w:val="nil"/>
            </w:tcBorders>
          </w:tcPr>
          <w:p w:rsidR="00AC55B3" w:rsidRPr="00AC55B3" w:rsidRDefault="00AC55B3" w:rsidP="006D5682">
            <w:pPr>
              <w:rPr>
                <w:rFonts w:ascii="Arial" w:hAnsi="Arial" w:cs="Arial"/>
                <w:b/>
                <w:szCs w:val="24"/>
              </w:rPr>
            </w:pPr>
            <w:r w:rsidRPr="00AC55B3">
              <w:rPr>
                <w:rFonts w:ascii="Arial" w:hAnsi="Arial" w:cs="Arial"/>
                <w:b/>
                <w:szCs w:val="24"/>
              </w:rPr>
              <w:t>RC/0**/19</w:t>
            </w:r>
          </w:p>
        </w:tc>
      </w:tr>
    </w:tbl>
    <w:p w:rsidR="00AC55B3" w:rsidRPr="00AC55B3" w:rsidRDefault="00AC55B3" w:rsidP="00AC55B3">
      <w:pPr>
        <w:jc w:val="center"/>
        <w:rPr>
          <w:rFonts w:ascii="Arial" w:hAnsi="Arial" w:cs="Arial"/>
          <w:b/>
          <w:szCs w:val="24"/>
        </w:rPr>
      </w:pPr>
    </w:p>
    <w:p w:rsidR="00264EBE" w:rsidRPr="00264EBE" w:rsidRDefault="00264EBE" w:rsidP="00264EBE">
      <w:pPr>
        <w:jc w:val="center"/>
        <w:rPr>
          <w:rFonts w:ascii="Arial" w:hAnsi="Arial" w:cs="Arial"/>
          <w:b/>
        </w:rPr>
      </w:pPr>
    </w:p>
    <w:p w:rsidR="00264EBE" w:rsidRPr="00264EBE" w:rsidRDefault="00AC55B3" w:rsidP="00264EBE">
      <w:pPr>
        <w:jc w:val="center"/>
        <w:rPr>
          <w:rFonts w:ascii="Arial" w:hAnsi="Arial" w:cs="Arial"/>
          <w:b/>
        </w:rPr>
      </w:pPr>
      <w:r>
        <w:rPr>
          <w:rFonts w:ascii="Arial" w:hAnsi="Arial" w:cs="Arial"/>
          <w:b/>
        </w:rPr>
        <w:t xml:space="preserve">THE </w:t>
      </w:r>
      <w:r w:rsidR="00264EBE" w:rsidRPr="00264EBE">
        <w:rPr>
          <w:rFonts w:ascii="Arial" w:hAnsi="Arial" w:cs="Arial"/>
          <w:b/>
        </w:rPr>
        <w:t>HIGHLAND COUNCIL</w:t>
      </w:r>
    </w:p>
    <w:p w:rsidR="00264EBE" w:rsidRPr="00264EBE" w:rsidRDefault="00264EBE" w:rsidP="00264EBE"/>
    <w:p w:rsidR="00264EBE" w:rsidRPr="00264EBE" w:rsidRDefault="00264EBE" w:rsidP="00264EBE"/>
    <w:tbl>
      <w:tblPr>
        <w:tblW w:w="0" w:type="auto"/>
        <w:tblInd w:w="-601" w:type="dxa"/>
        <w:tblLayout w:type="fixed"/>
        <w:tblLook w:val="0000" w:firstRow="0" w:lastRow="0" w:firstColumn="0" w:lastColumn="0" w:noHBand="0" w:noVBand="0"/>
      </w:tblPr>
      <w:tblGrid>
        <w:gridCol w:w="2977"/>
        <w:gridCol w:w="6853"/>
      </w:tblGrid>
      <w:tr w:rsidR="00264EBE" w:rsidRPr="00264EBE" w:rsidTr="00D0037F">
        <w:trPr>
          <w:cantSplit/>
        </w:trPr>
        <w:tc>
          <w:tcPr>
            <w:tcW w:w="2977" w:type="dxa"/>
          </w:tcPr>
          <w:p w:rsidR="00264EBE" w:rsidRPr="00264EBE" w:rsidRDefault="00264EBE" w:rsidP="00264EBE">
            <w:pPr>
              <w:rPr>
                <w:rFonts w:ascii="Arial" w:hAnsi="Arial" w:cs="Arial"/>
                <w:b/>
                <w:szCs w:val="24"/>
              </w:rPr>
            </w:pPr>
            <w:r w:rsidRPr="00264EBE">
              <w:rPr>
                <w:rFonts w:ascii="Arial" w:hAnsi="Arial" w:cs="Arial"/>
                <w:b/>
                <w:szCs w:val="24"/>
              </w:rPr>
              <w:t>Committee:</w:t>
            </w:r>
          </w:p>
          <w:p w:rsidR="00264EBE" w:rsidRPr="00264EBE" w:rsidRDefault="00264EBE" w:rsidP="00264EBE">
            <w:pPr>
              <w:rPr>
                <w:rFonts w:ascii="Arial" w:hAnsi="Arial" w:cs="Arial"/>
                <w:b/>
                <w:szCs w:val="24"/>
              </w:rPr>
            </w:pPr>
            <w:r w:rsidRPr="00264EBE">
              <w:rPr>
                <w:rFonts w:ascii="Arial" w:hAnsi="Arial" w:cs="Arial"/>
                <w:b/>
                <w:szCs w:val="24"/>
              </w:rPr>
              <w:t xml:space="preserve"> </w:t>
            </w:r>
          </w:p>
          <w:p w:rsidR="00264EBE" w:rsidRPr="00264EBE" w:rsidRDefault="00264EBE" w:rsidP="00264EBE">
            <w:pPr>
              <w:rPr>
                <w:rFonts w:ascii="Arial" w:hAnsi="Arial" w:cs="Arial"/>
                <w:b/>
                <w:szCs w:val="24"/>
              </w:rPr>
            </w:pPr>
          </w:p>
        </w:tc>
        <w:tc>
          <w:tcPr>
            <w:tcW w:w="6853" w:type="dxa"/>
          </w:tcPr>
          <w:p w:rsidR="00264EBE" w:rsidRPr="00264EBE" w:rsidRDefault="00C55732" w:rsidP="00264EBE">
            <w:pPr>
              <w:jc w:val="both"/>
              <w:rPr>
                <w:rFonts w:ascii="Arial" w:hAnsi="Arial" w:cs="Arial"/>
                <w:szCs w:val="24"/>
              </w:rPr>
            </w:pPr>
            <w:r>
              <w:rPr>
                <w:rFonts w:ascii="Arial" w:hAnsi="Arial" w:cs="Arial"/>
                <w:szCs w:val="24"/>
              </w:rPr>
              <w:t xml:space="preserve">Ross and </w:t>
            </w:r>
            <w:r w:rsidR="00264EBE" w:rsidRPr="00264EBE">
              <w:rPr>
                <w:rFonts w:ascii="Arial" w:hAnsi="Arial" w:cs="Arial"/>
                <w:szCs w:val="24"/>
              </w:rPr>
              <w:t>Cromarty</w:t>
            </w:r>
            <w:r w:rsidR="00264EBE" w:rsidRPr="00264EBE">
              <w:rPr>
                <w:rFonts w:ascii="Arial" w:hAnsi="Arial" w:cs="Arial"/>
                <w:szCs w:val="24"/>
              </w:rPr>
              <w:fldChar w:fldCharType="begin"/>
            </w:r>
            <w:r w:rsidR="00264EBE" w:rsidRPr="00264EBE">
              <w:rPr>
                <w:rFonts w:ascii="Arial" w:hAnsi="Arial" w:cs="Arial"/>
                <w:szCs w:val="24"/>
              </w:rPr>
              <w:instrText xml:space="preserve">  </w:instrText>
            </w:r>
            <w:r w:rsidR="00264EBE" w:rsidRPr="00264EBE">
              <w:rPr>
                <w:rFonts w:ascii="Arial" w:hAnsi="Arial" w:cs="Arial"/>
                <w:szCs w:val="24"/>
              </w:rPr>
              <w:fldChar w:fldCharType="end"/>
            </w:r>
          </w:p>
        </w:tc>
      </w:tr>
      <w:tr w:rsidR="00264EBE" w:rsidRPr="00264EBE" w:rsidTr="00D0037F">
        <w:trPr>
          <w:cantSplit/>
        </w:trPr>
        <w:tc>
          <w:tcPr>
            <w:tcW w:w="2977" w:type="dxa"/>
          </w:tcPr>
          <w:p w:rsidR="00264EBE" w:rsidRPr="00264EBE" w:rsidRDefault="00264EBE" w:rsidP="00264EBE">
            <w:pPr>
              <w:rPr>
                <w:rFonts w:ascii="Arial" w:hAnsi="Arial" w:cs="Arial"/>
                <w:b/>
                <w:szCs w:val="24"/>
              </w:rPr>
            </w:pPr>
            <w:r w:rsidRPr="00264EBE">
              <w:rPr>
                <w:rFonts w:ascii="Arial" w:hAnsi="Arial" w:cs="Arial"/>
                <w:b/>
                <w:szCs w:val="24"/>
              </w:rPr>
              <w:t>Date:</w:t>
            </w:r>
          </w:p>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p>
        </w:tc>
        <w:tc>
          <w:tcPr>
            <w:tcW w:w="6853" w:type="dxa"/>
          </w:tcPr>
          <w:p w:rsidR="00264EBE" w:rsidRPr="00264EBE" w:rsidRDefault="00264EBE" w:rsidP="00900371">
            <w:pPr>
              <w:jc w:val="both"/>
              <w:rPr>
                <w:rFonts w:ascii="Arial" w:hAnsi="Arial" w:cs="Arial"/>
                <w:szCs w:val="24"/>
              </w:rPr>
            </w:pPr>
            <w:r w:rsidRPr="00264EBE">
              <w:rPr>
                <w:rFonts w:ascii="Arial" w:hAnsi="Arial" w:cs="Arial"/>
                <w:szCs w:val="24"/>
              </w:rPr>
              <w:t>3</w:t>
            </w:r>
            <w:r w:rsidR="00900371">
              <w:rPr>
                <w:rFonts w:ascii="Arial" w:hAnsi="Arial" w:cs="Arial"/>
                <w:szCs w:val="24"/>
              </w:rPr>
              <w:t>0</w:t>
            </w:r>
            <w:r w:rsidRPr="00264EBE">
              <w:rPr>
                <w:rFonts w:ascii="Arial" w:hAnsi="Arial" w:cs="Arial"/>
                <w:szCs w:val="24"/>
              </w:rPr>
              <w:t xml:space="preserve"> January 201</w:t>
            </w:r>
            <w:r w:rsidR="00900371">
              <w:rPr>
                <w:rFonts w:ascii="Arial" w:hAnsi="Arial" w:cs="Arial"/>
                <w:szCs w:val="24"/>
              </w:rPr>
              <w:t>9</w:t>
            </w:r>
          </w:p>
        </w:tc>
      </w:tr>
      <w:tr w:rsidR="00264EBE" w:rsidRPr="00264EBE" w:rsidTr="00D0037F">
        <w:trPr>
          <w:cantSplit/>
        </w:trPr>
        <w:tc>
          <w:tcPr>
            <w:tcW w:w="2977" w:type="dxa"/>
          </w:tcPr>
          <w:p w:rsidR="00264EBE" w:rsidRPr="00264EBE" w:rsidRDefault="00264EBE" w:rsidP="00264EBE">
            <w:pPr>
              <w:rPr>
                <w:rFonts w:ascii="Arial" w:hAnsi="Arial" w:cs="Arial"/>
                <w:b/>
                <w:szCs w:val="24"/>
              </w:rPr>
            </w:pPr>
            <w:r w:rsidRPr="00264EBE">
              <w:rPr>
                <w:rFonts w:ascii="Arial" w:hAnsi="Arial" w:cs="Arial"/>
                <w:b/>
                <w:szCs w:val="24"/>
              </w:rPr>
              <w:t>Report Title:</w:t>
            </w:r>
          </w:p>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r w:rsidRPr="00264EBE">
              <w:rPr>
                <w:rFonts w:ascii="Arial" w:hAnsi="Arial" w:cs="Arial"/>
                <w:b/>
                <w:szCs w:val="24"/>
              </w:rPr>
              <w:fldChar w:fldCharType="begin"/>
            </w:r>
            <w:r w:rsidRPr="00264EBE">
              <w:rPr>
                <w:rFonts w:ascii="Arial" w:hAnsi="Arial" w:cs="Arial"/>
                <w:b/>
                <w:szCs w:val="24"/>
              </w:rPr>
              <w:instrText xml:space="preserve">  </w:instrText>
            </w:r>
            <w:r w:rsidRPr="00264EBE">
              <w:rPr>
                <w:rFonts w:ascii="Arial" w:hAnsi="Arial" w:cs="Arial"/>
                <w:b/>
                <w:szCs w:val="24"/>
              </w:rPr>
              <w:fldChar w:fldCharType="end"/>
            </w:r>
          </w:p>
        </w:tc>
        <w:tc>
          <w:tcPr>
            <w:tcW w:w="6853" w:type="dxa"/>
          </w:tcPr>
          <w:p w:rsidR="00C55732" w:rsidRDefault="00B84435" w:rsidP="00264EBE">
            <w:pPr>
              <w:jc w:val="both"/>
              <w:rPr>
                <w:rFonts w:ascii="Arial" w:hAnsi="Arial" w:cs="Arial"/>
                <w:b/>
                <w:szCs w:val="24"/>
              </w:rPr>
            </w:pPr>
            <w:r>
              <w:rPr>
                <w:rFonts w:ascii="Arial" w:hAnsi="Arial" w:cs="Arial"/>
                <w:b/>
                <w:szCs w:val="24"/>
              </w:rPr>
              <w:t xml:space="preserve">Fortrose and </w:t>
            </w:r>
            <w:proofErr w:type="spellStart"/>
            <w:r>
              <w:rPr>
                <w:rFonts w:ascii="Arial" w:hAnsi="Arial" w:cs="Arial"/>
                <w:b/>
                <w:szCs w:val="24"/>
              </w:rPr>
              <w:t>Rosemarkie</w:t>
            </w:r>
            <w:proofErr w:type="spellEnd"/>
            <w:r w:rsidR="0020128C">
              <w:rPr>
                <w:rFonts w:ascii="Arial" w:hAnsi="Arial" w:cs="Arial"/>
                <w:b/>
                <w:szCs w:val="24"/>
              </w:rPr>
              <w:t xml:space="preserve"> Common Good Fund -</w:t>
            </w:r>
          </w:p>
          <w:p w:rsidR="00264EBE" w:rsidRPr="00264EBE" w:rsidRDefault="00754BB0" w:rsidP="00264EBE">
            <w:pPr>
              <w:jc w:val="both"/>
              <w:rPr>
                <w:rFonts w:ascii="Arial" w:hAnsi="Arial" w:cs="Arial"/>
                <w:b/>
                <w:szCs w:val="24"/>
              </w:rPr>
            </w:pPr>
            <w:r>
              <w:rPr>
                <w:rFonts w:ascii="Arial" w:hAnsi="Arial" w:cs="Arial"/>
                <w:b/>
                <w:szCs w:val="24"/>
              </w:rPr>
              <w:t xml:space="preserve">Quarter 3 monitoring report </w:t>
            </w:r>
            <w:r w:rsidR="00264EBE" w:rsidRPr="00264EBE">
              <w:rPr>
                <w:rFonts w:ascii="Arial" w:hAnsi="Arial" w:cs="Arial"/>
                <w:b/>
                <w:szCs w:val="24"/>
              </w:rPr>
              <w:t>2018/19</w:t>
            </w:r>
            <w:r>
              <w:rPr>
                <w:rFonts w:ascii="Arial" w:hAnsi="Arial" w:cs="Arial"/>
                <w:b/>
                <w:szCs w:val="24"/>
              </w:rPr>
              <w:t xml:space="preserve"> and</w:t>
            </w:r>
            <w:r w:rsidR="00264EBE" w:rsidRPr="00264EBE">
              <w:rPr>
                <w:rFonts w:ascii="Arial" w:hAnsi="Arial" w:cs="Arial"/>
                <w:b/>
                <w:szCs w:val="24"/>
              </w:rPr>
              <w:t xml:space="preserve"> </w:t>
            </w:r>
            <w:r w:rsidR="00264EBE" w:rsidRPr="00264EBE">
              <w:rPr>
                <w:rFonts w:ascii="Arial" w:eastAsiaTheme="minorHAnsi" w:hAnsi="Arial" w:cs="Arial"/>
                <w:b/>
                <w:szCs w:val="24"/>
                <w:lang w:eastAsia="en-US"/>
              </w:rPr>
              <w:t xml:space="preserve">Budget </w:t>
            </w:r>
            <w:r w:rsidR="00C55732">
              <w:rPr>
                <w:rFonts w:ascii="Arial" w:eastAsiaTheme="minorHAnsi" w:hAnsi="Arial" w:cs="Arial"/>
                <w:b/>
                <w:szCs w:val="24"/>
                <w:lang w:eastAsia="en-US"/>
              </w:rPr>
              <w:t>2019/20</w:t>
            </w:r>
          </w:p>
        </w:tc>
      </w:tr>
      <w:tr w:rsidR="00264EBE" w:rsidRPr="00264EBE" w:rsidTr="00D0037F">
        <w:trPr>
          <w:cantSplit/>
        </w:trPr>
        <w:tc>
          <w:tcPr>
            <w:tcW w:w="2977" w:type="dxa"/>
          </w:tcPr>
          <w:p w:rsidR="00264EBE" w:rsidRPr="00264EBE" w:rsidRDefault="00264EBE" w:rsidP="00264EBE">
            <w:pPr>
              <w:rPr>
                <w:rFonts w:ascii="Arial" w:hAnsi="Arial" w:cs="Arial"/>
                <w:b/>
                <w:szCs w:val="24"/>
              </w:rPr>
            </w:pPr>
            <w:r w:rsidRPr="00264EBE">
              <w:rPr>
                <w:rFonts w:ascii="Arial" w:hAnsi="Arial" w:cs="Arial"/>
                <w:b/>
                <w:szCs w:val="24"/>
              </w:rPr>
              <w:t>Report By:</w:t>
            </w:r>
          </w:p>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p>
        </w:tc>
        <w:tc>
          <w:tcPr>
            <w:tcW w:w="6853" w:type="dxa"/>
          </w:tcPr>
          <w:p w:rsidR="00230238" w:rsidRPr="00230238" w:rsidRDefault="00230238" w:rsidP="00230238">
            <w:pPr>
              <w:keepNext/>
              <w:outlineLvl w:val="2"/>
              <w:rPr>
                <w:rFonts w:ascii="Arial" w:hAnsi="Arial" w:cs="Arial"/>
                <w:szCs w:val="24"/>
              </w:rPr>
            </w:pPr>
            <w:r w:rsidRPr="00230238">
              <w:rPr>
                <w:rFonts w:ascii="Arial" w:hAnsi="Arial" w:cs="Arial"/>
                <w:szCs w:val="24"/>
              </w:rPr>
              <w:t>Derek Yule, Depute Chief Executive and Director of Corporate Resources</w:t>
            </w:r>
          </w:p>
          <w:p w:rsidR="00230238" w:rsidRPr="00230238" w:rsidRDefault="00900371" w:rsidP="00230238">
            <w:pPr>
              <w:keepNext/>
              <w:outlineLvl w:val="2"/>
              <w:rPr>
                <w:rFonts w:ascii="Arial" w:hAnsi="Arial" w:cs="Arial"/>
                <w:szCs w:val="24"/>
              </w:rPr>
            </w:pPr>
            <w:r>
              <w:rPr>
                <w:rFonts w:ascii="Arial" w:hAnsi="Arial" w:cs="Arial"/>
                <w:szCs w:val="24"/>
              </w:rPr>
              <w:t>Alison Clark</w:t>
            </w:r>
            <w:r w:rsidR="00230238" w:rsidRPr="00230238">
              <w:rPr>
                <w:rFonts w:ascii="Arial" w:hAnsi="Arial" w:cs="Arial"/>
                <w:szCs w:val="24"/>
              </w:rPr>
              <w:t xml:space="preserve">, </w:t>
            </w:r>
            <w:r>
              <w:rPr>
                <w:rFonts w:ascii="Arial" w:hAnsi="Arial" w:cs="Arial"/>
                <w:szCs w:val="24"/>
              </w:rPr>
              <w:t xml:space="preserve">Acting Head of Policy </w:t>
            </w:r>
          </w:p>
          <w:p w:rsidR="00264EBE" w:rsidRPr="00264EBE" w:rsidRDefault="00264EBE" w:rsidP="00264EBE">
            <w:pPr>
              <w:jc w:val="both"/>
              <w:rPr>
                <w:rFonts w:ascii="Arial" w:hAnsi="Arial" w:cs="Arial"/>
                <w:b/>
                <w:szCs w:val="24"/>
              </w:rPr>
            </w:pPr>
          </w:p>
        </w:tc>
      </w:tr>
    </w:tbl>
    <w:p w:rsidR="00264EBE" w:rsidRPr="00264EBE" w:rsidRDefault="00264EBE" w:rsidP="00264EBE"/>
    <w:p w:rsidR="00264EBE" w:rsidRPr="00264EBE" w:rsidRDefault="00264EBE" w:rsidP="00264EBE"/>
    <w:tbl>
      <w:tblPr>
        <w:tblW w:w="10349" w:type="dxa"/>
        <w:tblInd w:w="-743" w:type="dxa"/>
        <w:tblLayout w:type="fixed"/>
        <w:tblLook w:val="0000" w:firstRow="0" w:lastRow="0" w:firstColumn="0" w:lastColumn="0" w:noHBand="0" w:noVBand="0"/>
      </w:tblPr>
      <w:tblGrid>
        <w:gridCol w:w="567"/>
        <w:gridCol w:w="9782"/>
      </w:tblGrid>
      <w:tr w:rsidR="00264EBE" w:rsidRPr="00264EBE" w:rsidTr="00D0037F">
        <w:tc>
          <w:tcPr>
            <w:tcW w:w="567" w:type="dxa"/>
          </w:tcPr>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r w:rsidRPr="00264EBE">
              <w:rPr>
                <w:rFonts w:ascii="Arial" w:hAnsi="Arial" w:cs="Arial"/>
                <w:b/>
                <w:szCs w:val="24"/>
              </w:rPr>
              <w:t>1.</w:t>
            </w:r>
          </w:p>
        </w:tc>
        <w:tc>
          <w:tcPr>
            <w:tcW w:w="9782" w:type="dxa"/>
          </w:tcPr>
          <w:p w:rsidR="00264EBE" w:rsidRPr="00264EBE" w:rsidRDefault="00264EBE" w:rsidP="00264EBE">
            <w:pPr>
              <w:keepNext/>
              <w:outlineLvl w:val="1"/>
              <w:rPr>
                <w:rFonts w:ascii="Arial" w:hAnsi="Arial" w:cs="Arial"/>
                <w:b/>
                <w:szCs w:val="24"/>
              </w:rPr>
            </w:pPr>
          </w:p>
          <w:p w:rsidR="00264EBE" w:rsidRPr="00264EBE" w:rsidRDefault="00264EBE" w:rsidP="00264EBE">
            <w:pPr>
              <w:keepNext/>
              <w:jc w:val="center"/>
              <w:outlineLvl w:val="1"/>
              <w:rPr>
                <w:rFonts w:ascii="Arial" w:hAnsi="Arial" w:cs="Arial"/>
                <w:b/>
                <w:szCs w:val="24"/>
              </w:rPr>
            </w:pPr>
            <w:r w:rsidRPr="00264EBE">
              <w:rPr>
                <w:rFonts w:ascii="Arial" w:hAnsi="Arial" w:cs="Arial"/>
                <w:b/>
                <w:szCs w:val="24"/>
              </w:rPr>
              <w:t>Purpose/Executive Summary</w:t>
            </w:r>
          </w:p>
          <w:p w:rsidR="00264EBE" w:rsidRPr="00264EBE" w:rsidRDefault="00264EBE" w:rsidP="00264EBE">
            <w:pPr>
              <w:keepNext/>
              <w:outlineLvl w:val="1"/>
              <w:rPr>
                <w:rFonts w:ascii="Arial" w:hAnsi="Arial" w:cs="Arial"/>
                <w:b/>
                <w:szCs w:val="24"/>
              </w:rPr>
            </w:pPr>
          </w:p>
          <w:p w:rsidR="00264EBE" w:rsidRPr="00264EBE" w:rsidRDefault="00264EBE" w:rsidP="00264EBE">
            <w:pPr>
              <w:rPr>
                <w:rFonts w:ascii="Arial" w:hAnsi="Arial" w:cs="Arial"/>
                <w:b/>
                <w:szCs w:val="24"/>
              </w:rPr>
            </w:pPr>
          </w:p>
        </w:tc>
      </w:tr>
      <w:tr w:rsidR="00264EBE" w:rsidRPr="00264EBE" w:rsidTr="00D0037F">
        <w:tc>
          <w:tcPr>
            <w:tcW w:w="567" w:type="dxa"/>
          </w:tcPr>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r w:rsidRPr="00264EBE">
              <w:rPr>
                <w:rFonts w:ascii="Arial" w:hAnsi="Arial" w:cs="Arial"/>
                <w:b/>
                <w:szCs w:val="24"/>
              </w:rPr>
              <w:t>1.1</w:t>
            </w:r>
          </w:p>
        </w:tc>
        <w:tc>
          <w:tcPr>
            <w:tcW w:w="9782" w:type="dxa"/>
          </w:tcPr>
          <w:p w:rsidR="00264EBE" w:rsidRPr="00264EBE" w:rsidRDefault="00264EBE" w:rsidP="00264EBE">
            <w:pPr>
              <w:contextualSpacing/>
              <w:jc w:val="both"/>
              <w:rPr>
                <w:rFonts w:ascii="Arial" w:hAnsi="Arial" w:cs="Arial"/>
                <w:szCs w:val="24"/>
              </w:rPr>
            </w:pPr>
          </w:p>
          <w:p w:rsidR="00264EBE" w:rsidRPr="00264EBE" w:rsidRDefault="00264EBE" w:rsidP="00264EBE">
            <w:pPr>
              <w:contextualSpacing/>
              <w:jc w:val="both"/>
              <w:rPr>
                <w:rFonts w:ascii="Arial" w:hAnsi="Arial" w:cs="Arial"/>
                <w:szCs w:val="24"/>
              </w:rPr>
            </w:pPr>
            <w:r w:rsidRPr="00264EBE">
              <w:rPr>
                <w:rFonts w:ascii="Arial" w:hAnsi="Arial" w:cs="Arial"/>
                <w:szCs w:val="24"/>
              </w:rPr>
              <w:t>This r</w:t>
            </w:r>
            <w:r w:rsidR="00C55732">
              <w:rPr>
                <w:rFonts w:ascii="Arial" w:hAnsi="Arial" w:cs="Arial"/>
                <w:szCs w:val="24"/>
              </w:rPr>
              <w:t>eport presents the Quarter 3</w:t>
            </w:r>
            <w:r w:rsidRPr="00264EBE">
              <w:rPr>
                <w:rFonts w:ascii="Arial" w:hAnsi="Arial" w:cs="Arial"/>
                <w:szCs w:val="24"/>
              </w:rPr>
              <w:t xml:space="preserve"> monitoring statement for the </w:t>
            </w:r>
            <w:r w:rsidR="00B84435">
              <w:rPr>
                <w:rFonts w:ascii="Arial" w:hAnsi="Arial" w:cs="Arial"/>
                <w:szCs w:val="24"/>
              </w:rPr>
              <w:t xml:space="preserve">Fortrose and </w:t>
            </w:r>
            <w:proofErr w:type="spellStart"/>
            <w:proofErr w:type="gramStart"/>
            <w:r w:rsidR="00B84435">
              <w:rPr>
                <w:rFonts w:ascii="Arial" w:hAnsi="Arial" w:cs="Arial"/>
                <w:szCs w:val="24"/>
              </w:rPr>
              <w:t>Rosemarkie</w:t>
            </w:r>
            <w:proofErr w:type="spellEnd"/>
            <w:r w:rsidR="00B84435">
              <w:rPr>
                <w:rFonts w:ascii="Arial" w:hAnsi="Arial" w:cs="Arial"/>
                <w:szCs w:val="24"/>
              </w:rPr>
              <w:t xml:space="preserve"> </w:t>
            </w:r>
            <w:r>
              <w:rPr>
                <w:rFonts w:ascii="Arial" w:hAnsi="Arial" w:cs="Arial"/>
                <w:szCs w:val="24"/>
              </w:rPr>
              <w:t xml:space="preserve"> </w:t>
            </w:r>
            <w:r w:rsidRPr="00264EBE">
              <w:rPr>
                <w:rFonts w:ascii="Arial" w:hAnsi="Arial" w:cs="Arial"/>
                <w:szCs w:val="24"/>
              </w:rPr>
              <w:t>Common</w:t>
            </w:r>
            <w:proofErr w:type="gramEnd"/>
            <w:r w:rsidRPr="00264EBE">
              <w:rPr>
                <w:rFonts w:ascii="Arial" w:hAnsi="Arial" w:cs="Arial"/>
                <w:szCs w:val="24"/>
              </w:rPr>
              <w:t xml:space="preserve"> Good Fund and puts forward a proposed budget for 201</w:t>
            </w:r>
            <w:r w:rsidR="00900371">
              <w:rPr>
                <w:rFonts w:ascii="Arial" w:hAnsi="Arial" w:cs="Arial"/>
                <w:szCs w:val="24"/>
              </w:rPr>
              <w:t>9</w:t>
            </w:r>
            <w:r w:rsidRPr="00264EBE">
              <w:rPr>
                <w:rFonts w:ascii="Arial" w:hAnsi="Arial" w:cs="Arial"/>
                <w:szCs w:val="24"/>
              </w:rPr>
              <w:t>/</w:t>
            </w:r>
            <w:r w:rsidR="00900371">
              <w:rPr>
                <w:rFonts w:ascii="Arial" w:hAnsi="Arial" w:cs="Arial"/>
                <w:szCs w:val="24"/>
              </w:rPr>
              <w:t>20</w:t>
            </w:r>
            <w:r w:rsidRPr="00264EBE">
              <w:rPr>
                <w:rFonts w:ascii="Arial" w:hAnsi="Arial" w:cs="Arial"/>
                <w:szCs w:val="24"/>
              </w:rPr>
              <w:t xml:space="preserve">. </w:t>
            </w:r>
          </w:p>
          <w:p w:rsidR="00264EBE" w:rsidRPr="00264EBE" w:rsidRDefault="00264EBE" w:rsidP="00264EBE">
            <w:pPr>
              <w:contextualSpacing/>
              <w:rPr>
                <w:rFonts w:ascii="Arial" w:hAnsi="Arial" w:cs="Arial"/>
                <w:szCs w:val="24"/>
              </w:rPr>
            </w:pPr>
          </w:p>
          <w:p w:rsidR="00264EBE" w:rsidRPr="00264EBE" w:rsidRDefault="00264EBE" w:rsidP="00264EBE">
            <w:pPr>
              <w:ind w:left="720"/>
              <w:rPr>
                <w:rFonts w:ascii="Arial" w:hAnsi="Arial" w:cs="Arial"/>
                <w:szCs w:val="24"/>
              </w:rPr>
            </w:pPr>
          </w:p>
        </w:tc>
      </w:tr>
      <w:tr w:rsidR="00264EBE" w:rsidRPr="00264EBE" w:rsidTr="00D0037F">
        <w:tc>
          <w:tcPr>
            <w:tcW w:w="567" w:type="dxa"/>
          </w:tcPr>
          <w:p w:rsidR="00264EBE" w:rsidRPr="00264EBE" w:rsidRDefault="00264EBE" w:rsidP="00264EBE">
            <w:pPr>
              <w:rPr>
                <w:rFonts w:ascii="Arial" w:hAnsi="Arial" w:cs="Arial"/>
                <w:b/>
                <w:szCs w:val="24"/>
              </w:rPr>
            </w:pPr>
          </w:p>
          <w:p w:rsidR="00264EBE" w:rsidRPr="00264EBE" w:rsidRDefault="00264EBE" w:rsidP="00264EBE">
            <w:pPr>
              <w:rPr>
                <w:rFonts w:ascii="Arial" w:hAnsi="Arial" w:cs="Arial"/>
                <w:b/>
                <w:szCs w:val="24"/>
              </w:rPr>
            </w:pPr>
            <w:r w:rsidRPr="00264EBE">
              <w:rPr>
                <w:rFonts w:ascii="Arial" w:hAnsi="Arial" w:cs="Arial"/>
                <w:b/>
                <w:szCs w:val="24"/>
              </w:rPr>
              <w:t>2.</w:t>
            </w:r>
          </w:p>
        </w:tc>
        <w:tc>
          <w:tcPr>
            <w:tcW w:w="9782" w:type="dxa"/>
          </w:tcPr>
          <w:p w:rsidR="00264EBE" w:rsidRPr="00264EBE" w:rsidRDefault="00264EBE" w:rsidP="00264EBE">
            <w:pPr>
              <w:rPr>
                <w:rFonts w:ascii="Arial" w:hAnsi="Arial" w:cs="Arial"/>
              </w:rPr>
            </w:pPr>
          </w:p>
          <w:p w:rsidR="00264EBE" w:rsidRPr="00264EBE" w:rsidRDefault="00264EBE" w:rsidP="00264EBE">
            <w:pPr>
              <w:jc w:val="center"/>
              <w:rPr>
                <w:rFonts w:ascii="Arial" w:hAnsi="Arial" w:cs="Arial"/>
                <w:b/>
              </w:rPr>
            </w:pPr>
            <w:r w:rsidRPr="00264EBE">
              <w:rPr>
                <w:rFonts w:ascii="Arial" w:hAnsi="Arial" w:cs="Arial"/>
                <w:b/>
              </w:rPr>
              <w:t xml:space="preserve">Recommendation </w:t>
            </w:r>
          </w:p>
          <w:p w:rsidR="00264EBE" w:rsidRPr="00264EBE" w:rsidRDefault="00264EBE" w:rsidP="00264EBE">
            <w:pPr>
              <w:jc w:val="center"/>
              <w:rPr>
                <w:rFonts w:ascii="Arial" w:hAnsi="Arial" w:cs="Arial"/>
                <w:b/>
              </w:rPr>
            </w:pPr>
          </w:p>
        </w:tc>
      </w:tr>
      <w:tr w:rsidR="00264EBE" w:rsidRPr="00264EBE" w:rsidTr="00D0037F">
        <w:tc>
          <w:tcPr>
            <w:tcW w:w="567" w:type="dxa"/>
          </w:tcPr>
          <w:p w:rsidR="00264EBE" w:rsidRPr="00264EBE" w:rsidRDefault="00264EBE" w:rsidP="00264EBE">
            <w:pPr>
              <w:rPr>
                <w:rFonts w:ascii="Arial" w:hAnsi="Arial" w:cs="Arial"/>
                <w:b/>
                <w:szCs w:val="24"/>
              </w:rPr>
            </w:pPr>
            <w:r w:rsidRPr="00264EBE">
              <w:rPr>
                <w:rFonts w:ascii="Arial" w:hAnsi="Arial" w:cs="Arial"/>
                <w:b/>
                <w:szCs w:val="24"/>
              </w:rPr>
              <w:t xml:space="preserve">2.1 </w:t>
            </w:r>
          </w:p>
        </w:tc>
        <w:tc>
          <w:tcPr>
            <w:tcW w:w="9782" w:type="dxa"/>
          </w:tcPr>
          <w:p w:rsidR="005E0C95" w:rsidRPr="0092425B" w:rsidRDefault="00264EBE" w:rsidP="00BD06DB">
            <w:pPr>
              <w:jc w:val="both"/>
              <w:rPr>
                <w:rFonts w:ascii="Arial" w:hAnsi="Arial" w:cs="Arial"/>
                <w:i/>
              </w:rPr>
            </w:pPr>
            <w:r w:rsidRPr="00264EBE">
              <w:rPr>
                <w:rFonts w:ascii="Arial" w:hAnsi="Arial" w:cs="Arial"/>
                <w:szCs w:val="24"/>
              </w:rPr>
              <w:t>This report asks Members to</w:t>
            </w:r>
            <w:r w:rsidR="005E0C95">
              <w:rPr>
                <w:rFonts w:ascii="Arial" w:hAnsi="Arial" w:cs="Arial"/>
                <w:szCs w:val="24"/>
              </w:rPr>
              <w:t xml:space="preserve"> </w:t>
            </w:r>
            <w:r w:rsidRPr="00264EBE">
              <w:rPr>
                <w:rFonts w:ascii="Arial" w:hAnsi="Arial" w:cs="Arial"/>
                <w:szCs w:val="24"/>
              </w:rPr>
              <w:t xml:space="preserve">scrutinise and note the Quarter 3 monitoring statement for the </w:t>
            </w:r>
            <w:r w:rsidR="00B84435">
              <w:rPr>
                <w:rFonts w:ascii="Arial" w:hAnsi="Arial" w:cs="Arial"/>
                <w:szCs w:val="24"/>
              </w:rPr>
              <w:t xml:space="preserve">Fortrose and </w:t>
            </w:r>
            <w:proofErr w:type="spellStart"/>
            <w:r w:rsidR="00B84435">
              <w:rPr>
                <w:rFonts w:ascii="Arial" w:hAnsi="Arial" w:cs="Arial"/>
                <w:szCs w:val="24"/>
              </w:rPr>
              <w:t>Rosemarkie</w:t>
            </w:r>
            <w:proofErr w:type="spellEnd"/>
            <w:r w:rsidR="00B84435">
              <w:rPr>
                <w:rFonts w:ascii="Arial" w:hAnsi="Arial" w:cs="Arial"/>
                <w:szCs w:val="24"/>
              </w:rPr>
              <w:t xml:space="preserve"> </w:t>
            </w:r>
            <w:r w:rsidRPr="00264EBE">
              <w:rPr>
                <w:rFonts w:ascii="Arial" w:hAnsi="Arial" w:cs="Arial"/>
                <w:szCs w:val="24"/>
              </w:rPr>
              <w:t>Common Good Fund</w:t>
            </w:r>
            <w:r w:rsidR="005E0C95">
              <w:rPr>
                <w:rFonts w:ascii="Arial" w:hAnsi="Arial" w:cs="Arial"/>
                <w:szCs w:val="24"/>
              </w:rPr>
              <w:t xml:space="preserve"> and to </w:t>
            </w:r>
            <w:r w:rsidRPr="00264EBE">
              <w:rPr>
                <w:rFonts w:ascii="Arial" w:hAnsi="Arial" w:cs="Arial"/>
                <w:szCs w:val="24"/>
              </w:rPr>
              <w:t>consider and approve the proposed 201</w:t>
            </w:r>
            <w:r w:rsidR="00900371">
              <w:rPr>
                <w:rFonts w:ascii="Arial" w:hAnsi="Arial" w:cs="Arial"/>
                <w:szCs w:val="24"/>
              </w:rPr>
              <w:t>9/20</w:t>
            </w:r>
            <w:r w:rsidRPr="00264EBE">
              <w:rPr>
                <w:rFonts w:ascii="Arial" w:hAnsi="Arial" w:cs="Arial"/>
                <w:szCs w:val="24"/>
              </w:rPr>
              <w:t xml:space="preserve"> budget for the </w:t>
            </w:r>
            <w:r w:rsidR="00590A1C" w:rsidRPr="00264EBE">
              <w:rPr>
                <w:rFonts w:ascii="Arial" w:hAnsi="Arial" w:cs="Arial"/>
                <w:szCs w:val="24"/>
              </w:rPr>
              <w:t>Fund</w:t>
            </w:r>
            <w:r w:rsidR="00590A1C">
              <w:rPr>
                <w:rFonts w:ascii="Arial" w:hAnsi="Arial" w:cs="Arial"/>
                <w:szCs w:val="24"/>
              </w:rPr>
              <w:t>.</w:t>
            </w:r>
          </w:p>
          <w:p w:rsidR="0092425B" w:rsidRPr="0092425B" w:rsidRDefault="0092425B" w:rsidP="0092425B">
            <w:pPr>
              <w:rPr>
                <w:rFonts w:ascii="Arial" w:hAnsi="Arial" w:cs="Arial"/>
                <w:i/>
              </w:rPr>
            </w:pPr>
          </w:p>
        </w:tc>
      </w:tr>
    </w:tbl>
    <w:p w:rsidR="00264EBE" w:rsidRPr="00264EBE" w:rsidRDefault="00264EBE" w:rsidP="00264EBE">
      <w:pPr>
        <w:rPr>
          <w:rFonts w:ascii="Arial" w:hAnsi="Arial" w:cs="Arial"/>
          <w:b/>
          <w:szCs w:val="24"/>
        </w:rPr>
        <w:sectPr w:rsidR="00264EBE" w:rsidRPr="00264EBE" w:rsidSect="007135AE">
          <w:pgSz w:w="11906" w:h="16838"/>
          <w:pgMar w:top="993" w:right="1440" w:bottom="851" w:left="1440" w:header="708" w:footer="708" w:gutter="0"/>
          <w:cols w:space="708"/>
          <w:docGrid w:linePitch="360"/>
        </w:sectPr>
      </w:pPr>
    </w:p>
    <w:tbl>
      <w:tblPr>
        <w:tblW w:w="10349" w:type="dxa"/>
        <w:tblInd w:w="-743" w:type="dxa"/>
        <w:tblLayout w:type="fixed"/>
        <w:tblLook w:val="0000" w:firstRow="0" w:lastRow="0" w:firstColumn="0" w:lastColumn="0" w:noHBand="0" w:noVBand="0"/>
      </w:tblPr>
      <w:tblGrid>
        <w:gridCol w:w="817"/>
        <w:gridCol w:w="9532"/>
      </w:tblGrid>
      <w:tr w:rsidR="00D934BB" w:rsidRPr="007214D1" w:rsidTr="00E84B4F">
        <w:tc>
          <w:tcPr>
            <w:tcW w:w="817" w:type="dxa"/>
          </w:tcPr>
          <w:p w:rsidR="00D934BB" w:rsidRPr="00771284" w:rsidRDefault="00DB6AA0" w:rsidP="00771284">
            <w:pPr>
              <w:rPr>
                <w:rFonts w:ascii="Arial" w:hAnsi="Arial" w:cs="Arial"/>
                <w:b/>
                <w:szCs w:val="24"/>
              </w:rPr>
            </w:pPr>
            <w:r>
              <w:rPr>
                <w:rFonts w:ascii="Arial" w:hAnsi="Arial" w:cs="Arial"/>
                <w:b/>
                <w:szCs w:val="24"/>
              </w:rPr>
              <w:lastRenderedPageBreak/>
              <w:t>3</w:t>
            </w:r>
            <w:r w:rsidR="00771284">
              <w:rPr>
                <w:rFonts w:ascii="Arial" w:hAnsi="Arial" w:cs="Arial"/>
                <w:b/>
                <w:szCs w:val="24"/>
              </w:rPr>
              <w:t>.</w:t>
            </w:r>
          </w:p>
        </w:tc>
        <w:tc>
          <w:tcPr>
            <w:tcW w:w="9532" w:type="dxa"/>
          </w:tcPr>
          <w:p w:rsidR="00D934BB" w:rsidRDefault="00D934BB" w:rsidP="00E7647B">
            <w:pPr>
              <w:jc w:val="both"/>
              <w:rPr>
                <w:rFonts w:ascii="Arial" w:hAnsi="Arial" w:cs="Arial"/>
                <w:b/>
                <w:szCs w:val="24"/>
              </w:rPr>
            </w:pPr>
            <w:r>
              <w:rPr>
                <w:rFonts w:ascii="Arial" w:hAnsi="Arial" w:cs="Arial"/>
                <w:b/>
                <w:szCs w:val="24"/>
              </w:rPr>
              <w:t>Quarter 3 Monitoring Statement</w:t>
            </w:r>
          </w:p>
          <w:p w:rsidR="00771284" w:rsidRDefault="00771284" w:rsidP="00E7647B">
            <w:pPr>
              <w:jc w:val="both"/>
              <w:rPr>
                <w:rFonts w:ascii="Arial" w:hAnsi="Arial" w:cs="Arial"/>
                <w:b/>
                <w:szCs w:val="24"/>
              </w:rPr>
            </w:pPr>
          </w:p>
        </w:tc>
      </w:tr>
      <w:tr w:rsidR="00D934BB" w:rsidRPr="007214D1" w:rsidTr="00E84B4F">
        <w:tc>
          <w:tcPr>
            <w:tcW w:w="817" w:type="dxa"/>
          </w:tcPr>
          <w:p w:rsidR="00D934BB" w:rsidRPr="00771284" w:rsidRDefault="00E84B4F" w:rsidP="00C05BEC">
            <w:pPr>
              <w:rPr>
                <w:rFonts w:ascii="Arial" w:hAnsi="Arial" w:cs="Arial"/>
                <w:szCs w:val="24"/>
              </w:rPr>
            </w:pPr>
            <w:r>
              <w:rPr>
                <w:rFonts w:ascii="Arial" w:hAnsi="Arial" w:cs="Arial"/>
                <w:szCs w:val="24"/>
              </w:rPr>
              <w:t>3</w:t>
            </w:r>
            <w:r w:rsidR="00771284" w:rsidRPr="00771284">
              <w:rPr>
                <w:rFonts w:ascii="Arial" w:hAnsi="Arial" w:cs="Arial"/>
                <w:szCs w:val="24"/>
              </w:rPr>
              <w:t>.1</w:t>
            </w:r>
          </w:p>
        </w:tc>
        <w:tc>
          <w:tcPr>
            <w:tcW w:w="9532" w:type="dxa"/>
          </w:tcPr>
          <w:p w:rsidR="00D934BB" w:rsidRDefault="00D934BB" w:rsidP="00771284">
            <w:pPr>
              <w:jc w:val="both"/>
              <w:rPr>
                <w:rFonts w:ascii="Arial" w:hAnsi="Arial" w:cs="Arial"/>
                <w:szCs w:val="24"/>
              </w:rPr>
            </w:pPr>
            <w:r w:rsidRPr="00771284">
              <w:rPr>
                <w:rFonts w:ascii="Arial" w:hAnsi="Arial" w:cs="Arial"/>
                <w:szCs w:val="24"/>
              </w:rPr>
              <w:t xml:space="preserve">A monitoring statement showing transactions to the end of </w:t>
            </w:r>
            <w:r w:rsidR="00771284" w:rsidRPr="00771284">
              <w:rPr>
                <w:rFonts w:ascii="Arial" w:hAnsi="Arial" w:cs="Arial"/>
                <w:szCs w:val="24"/>
              </w:rPr>
              <w:t xml:space="preserve">December </w:t>
            </w:r>
            <w:r w:rsidRPr="00771284">
              <w:rPr>
                <w:rFonts w:ascii="Arial" w:hAnsi="Arial" w:cs="Arial"/>
                <w:szCs w:val="24"/>
              </w:rPr>
              <w:t>201</w:t>
            </w:r>
            <w:r w:rsidR="0092425B">
              <w:rPr>
                <w:rFonts w:ascii="Arial" w:hAnsi="Arial" w:cs="Arial"/>
                <w:szCs w:val="24"/>
              </w:rPr>
              <w:t>8</w:t>
            </w:r>
            <w:r w:rsidRPr="00771284">
              <w:rPr>
                <w:rFonts w:ascii="Arial" w:hAnsi="Arial" w:cs="Arial"/>
                <w:szCs w:val="24"/>
              </w:rPr>
              <w:t xml:space="preserve"> against budget and estimated year end position is attached at </w:t>
            </w:r>
            <w:r w:rsidRPr="00551E30">
              <w:rPr>
                <w:rFonts w:ascii="Arial" w:hAnsi="Arial" w:cs="Arial"/>
                <w:b/>
                <w:szCs w:val="24"/>
              </w:rPr>
              <w:t xml:space="preserve">Appendix </w:t>
            </w:r>
            <w:r w:rsidR="00771284" w:rsidRPr="00551E30">
              <w:rPr>
                <w:rFonts w:ascii="Arial" w:hAnsi="Arial" w:cs="Arial"/>
                <w:b/>
                <w:szCs w:val="24"/>
              </w:rPr>
              <w:t>1</w:t>
            </w:r>
            <w:r w:rsidR="00771284" w:rsidRPr="00771284">
              <w:rPr>
                <w:rFonts w:ascii="Arial" w:hAnsi="Arial" w:cs="Arial"/>
                <w:szCs w:val="24"/>
              </w:rPr>
              <w:t>.</w:t>
            </w:r>
          </w:p>
          <w:p w:rsidR="00771284" w:rsidRPr="00771284" w:rsidRDefault="00771284" w:rsidP="00771284">
            <w:pPr>
              <w:jc w:val="both"/>
              <w:rPr>
                <w:rFonts w:ascii="Arial" w:hAnsi="Arial" w:cs="Arial"/>
                <w:szCs w:val="24"/>
              </w:rPr>
            </w:pPr>
          </w:p>
        </w:tc>
      </w:tr>
      <w:tr w:rsidR="00D934BB" w:rsidRPr="007214D1" w:rsidTr="00E84B4F">
        <w:tc>
          <w:tcPr>
            <w:tcW w:w="817" w:type="dxa"/>
          </w:tcPr>
          <w:p w:rsidR="00D934BB" w:rsidRPr="00771284" w:rsidRDefault="00E84B4F" w:rsidP="00E84B4F">
            <w:pPr>
              <w:rPr>
                <w:rFonts w:ascii="Arial" w:hAnsi="Arial" w:cs="Arial"/>
                <w:szCs w:val="24"/>
              </w:rPr>
            </w:pPr>
            <w:r>
              <w:rPr>
                <w:rFonts w:ascii="Arial" w:hAnsi="Arial" w:cs="Arial"/>
                <w:szCs w:val="24"/>
              </w:rPr>
              <w:t>3.</w:t>
            </w:r>
            <w:r w:rsidR="00771284" w:rsidRPr="00771284">
              <w:rPr>
                <w:rFonts w:ascii="Arial" w:hAnsi="Arial" w:cs="Arial"/>
                <w:szCs w:val="24"/>
              </w:rPr>
              <w:t>2</w:t>
            </w:r>
          </w:p>
        </w:tc>
        <w:tc>
          <w:tcPr>
            <w:tcW w:w="9532" w:type="dxa"/>
          </w:tcPr>
          <w:p w:rsidR="00771284" w:rsidRDefault="0092425B" w:rsidP="0092425B">
            <w:pPr>
              <w:jc w:val="both"/>
              <w:rPr>
                <w:rFonts w:ascii="Arial" w:hAnsi="Arial" w:cs="Arial"/>
                <w:szCs w:val="24"/>
              </w:rPr>
            </w:pPr>
            <w:r w:rsidRPr="00AC55B3">
              <w:rPr>
                <w:rFonts w:ascii="Arial" w:hAnsi="Arial" w:cs="Arial"/>
                <w:b/>
                <w:szCs w:val="24"/>
              </w:rPr>
              <w:t>Income</w:t>
            </w:r>
            <w:r w:rsidR="00DB4C77">
              <w:rPr>
                <w:rFonts w:ascii="Arial" w:hAnsi="Arial" w:cs="Arial"/>
                <w:szCs w:val="24"/>
              </w:rPr>
              <w:t xml:space="preserve"> received from renta</w:t>
            </w:r>
            <w:r w:rsidR="00B84435">
              <w:rPr>
                <w:rFonts w:ascii="Arial" w:hAnsi="Arial" w:cs="Arial"/>
                <w:szCs w:val="24"/>
              </w:rPr>
              <w:t>l properties to date is £</w:t>
            </w:r>
            <w:r w:rsidR="00584462">
              <w:rPr>
                <w:rFonts w:ascii="Arial" w:hAnsi="Arial" w:cs="Arial"/>
                <w:szCs w:val="24"/>
              </w:rPr>
              <w:t xml:space="preserve">12,223. </w:t>
            </w:r>
            <w:r w:rsidR="00395FF3">
              <w:rPr>
                <w:rFonts w:ascii="Arial" w:hAnsi="Arial" w:cs="Arial"/>
                <w:szCs w:val="24"/>
              </w:rPr>
              <w:t xml:space="preserve"> </w:t>
            </w:r>
            <w:r w:rsidR="00584462">
              <w:rPr>
                <w:rFonts w:ascii="Arial" w:hAnsi="Arial" w:cs="Arial"/>
                <w:szCs w:val="24"/>
              </w:rPr>
              <w:t xml:space="preserve">The total income for 2018/19 will show in Quarter 4 monitoring statement along with income from interest for the year. </w:t>
            </w:r>
          </w:p>
          <w:p w:rsidR="0092425B" w:rsidRPr="00771284" w:rsidRDefault="0092425B" w:rsidP="0092425B">
            <w:pPr>
              <w:jc w:val="both"/>
              <w:rPr>
                <w:rFonts w:ascii="Arial" w:hAnsi="Arial" w:cs="Arial"/>
                <w:szCs w:val="24"/>
              </w:rPr>
            </w:pPr>
          </w:p>
        </w:tc>
      </w:tr>
      <w:tr w:rsidR="00D934BB" w:rsidRPr="007214D1" w:rsidTr="00E84B4F">
        <w:trPr>
          <w:trHeight w:val="948"/>
        </w:trPr>
        <w:tc>
          <w:tcPr>
            <w:tcW w:w="817" w:type="dxa"/>
          </w:tcPr>
          <w:p w:rsidR="00D934BB" w:rsidRPr="00771284" w:rsidRDefault="00E84B4F" w:rsidP="00C05BEC">
            <w:pPr>
              <w:rPr>
                <w:rFonts w:ascii="Arial" w:hAnsi="Arial" w:cs="Arial"/>
                <w:szCs w:val="24"/>
              </w:rPr>
            </w:pPr>
            <w:r>
              <w:rPr>
                <w:rFonts w:ascii="Arial" w:hAnsi="Arial" w:cs="Arial"/>
                <w:szCs w:val="24"/>
              </w:rPr>
              <w:t>3</w:t>
            </w:r>
            <w:r w:rsidR="00771284" w:rsidRPr="00771284">
              <w:rPr>
                <w:rFonts w:ascii="Arial" w:hAnsi="Arial" w:cs="Arial"/>
                <w:szCs w:val="24"/>
              </w:rPr>
              <w:t>.3</w:t>
            </w:r>
          </w:p>
        </w:tc>
        <w:tc>
          <w:tcPr>
            <w:tcW w:w="9532" w:type="dxa"/>
          </w:tcPr>
          <w:p w:rsidR="00584462" w:rsidRDefault="00395FF3" w:rsidP="00E7647B">
            <w:pPr>
              <w:jc w:val="both"/>
              <w:rPr>
                <w:rFonts w:ascii="Arial" w:hAnsi="Arial" w:cs="Arial"/>
                <w:szCs w:val="24"/>
              </w:rPr>
            </w:pPr>
            <w:r w:rsidRPr="00AC55B3">
              <w:rPr>
                <w:rFonts w:ascii="Arial" w:hAnsi="Arial" w:cs="Arial"/>
                <w:b/>
                <w:szCs w:val="24"/>
              </w:rPr>
              <w:t>Expenditure</w:t>
            </w:r>
            <w:r w:rsidR="0098440C">
              <w:rPr>
                <w:rFonts w:ascii="Arial" w:hAnsi="Arial" w:cs="Arial"/>
                <w:szCs w:val="24"/>
              </w:rPr>
              <w:t xml:space="preserve"> </w:t>
            </w:r>
            <w:r>
              <w:rPr>
                <w:rFonts w:ascii="Arial" w:hAnsi="Arial" w:cs="Arial"/>
                <w:szCs w:val="24"/>
              </w:rPr>
              <w:t>to date</w:t>
            </w:r>
            <w:r w:rsidR="00DB6AA0">
              <w:rPr>
                <w:rFonts w:ascii="Arial" w:hAnsi="Arial" w:cs="Arial"/>
                <w:szCs w:val="24"/>
              </w:rPr>
              <w:t xml:space="preserve"> remains at a minimal level and</w:t>
            </w:r>
            <w:r>
              <w:rPr>
                <w:rFonts w:ascii="Arial" w:hAnsi="Arial" w:cs="Arial"/>
                <w:szCs w:val="24"/>
              </w:rPr>
              <w:t xml:space="preserve"> relates to property costs and the Common Good Fund’s proportion of the cost of the Common Good Fund Officer post</w:t>
            </w:r>
            <w:r w:rsidR="00590A1C">
              <w:rPr>
                <w:rFonts w:ascii="Arial" w:hAnsi="Arial" w:cs="Arial"/>
                <w:szCs w:val="24"/>
              </w:rPr>
              <w:t>.</w:t>
            </w:r>
            <w:r w:rsidR="00DB6AA0">
              <w:rPr>
                <w:rFonts w:ascii="Arial" w:hAnsi="Arial" w:cs="Arial"/>
                <w:szCs w:val="24"/>
              </w:rPr>
              <w:t xml:space="preserve"> </w:t>
            </w:r>
            <w:r w:rsidR="0098440C">
              <w:rPr>
                <w:rFonts w:ascii="Arial" w:hAnsi="Arial" w:cs="Arial"/>
                <w:szCs w:val="24"/>
              </w:rPr>
              <w:t xml:space="preserve"> As previously agreed by Members spend has been kept to a minimum i</w:t>
            </w:r>
            <w:r w:rsidR="001D69E8">
              <w:rPr>
                <w:rFonts w:ascii="Arial" w:hAnsi="Arial" w:cs="Arial"/>
                <w:szCs w:val="24"/>
              </w:rPr>
              <w:t>n order to</w:t>
            </w:r>
            <w:r w:rsidR="00172E86">
              <w:rPr>
                <w:rFonts w:ascii="Arial" w:hAnsi="Arial" w:cs="Arial"/>
                <w:szCs w:val="24"/>
              </w:rPr>
              <w:t xml:space="preserve"> limit the impact on the reserves of the fund while the coastal erosion protection works are completed.</w:t>
            </w:r>
          </w:p>
          <w:p w:rsidR="00362D57" w:rsidRPr="00771284" w:rsidRDefault="00362D57" w:rsidP="00E7647B">
            <w:pPr>
              <w:jc w:val="both"/>
              <w:rPr>
                <w:rFonts w:ascii="Arial" w:hAnsi="Arial" w:cs="Arial"/>
                <w:szCs w:val="24"/>
              </w:rPr>
            </w:pPr>
          </w:p>
        </w:tc>
      </w:tr>
      <w:tr w:rsidR="00172E86" w:rsidRPr="007214D1" w:rsidTr="0020128C">
        <w:trPr>
          <w:trHeight w:val="948"/>
        </w:trPr>
        <w:tc>
          <w:tcPr>
            <w:tcW w:w="817" w:type="dxa"/>
          </w:tcPr>
          <w:p w:rsidR="00172E86" w:rsidRPr="00771284" w:rsidRDefault="00E84B4F" w:rsidP="00C05BEC">
            <w:pPr>
              <w:rPr>
                <w:rFonts w:ascii="Arial" w:hAnsi="Arial" w:cs="Arial"/>
                <w:szCs w:val="24"/>
              </w:rPr>
            </w:pPr>
            <w:r>
              <w:rPr>
                <w:rFonts w:ascii="Arial" w:hAnsi="Arial" w:cs="Arial"/>
                <w:szCs w:val="24"/>
              </w:rPr>
              <w:t>3</w:t>
            </w:r>
            <w:r w:rsidR="00172E86">
              <w:rPr>
                <w:rFonts w:ascii="Arial" w:hAnsi="Arial" w:cs="Arial"/>
                <w:szCs w:val="24"/>
              </w:rPr>
              <w:t>.4</w:t>
            </w:r>
          </w:p>
        </w:tc>
        <w:tc>
          <w:tcPr>
            <w:tcW w:w="9532" w:type="dxa"/>
          </w:tcPr>
          <w:p w:rsidR="00172E86" w:rsidRDefault="00172E86" w:rsidP="00E7647B">
            <w:pPr>
              <w:jc w:val="both"/>
              <w:rPr>
                <w:rFonts w:ascii="Arial" w:hAnsi="Arial" w:cs="Arial"/>
                <w:szCs w:val="24"/>
              </w:rPr>
            </w:pPr>
            <w:r w:rsidRPr="00AC55B3">
              <w:rPr>
                <w:rFonts w:ascii="Arial" w:hAnsi="Arial" w:cs="Arial"/>
                <w:b/>
                <w:szCs w:val="24"/>
              </w:rPr>
              <w:t xml:space="preserve">Coastal Protection Works </w:t>
            </w:r>
            <w:r>
              <w:rPr>
                <w:rFonts w:ascii="Arial" w:hAnsi="Arial" w:cs="Arial"/>
                <w:szCs w:val="24"/>
              </w:rPr>
              <w:t xml:space="preserve">– The essential coastal protection works at </w:t>
            </w:r>
            <w:proofErr w:type="spellStart"/>
            <w:r>
              <w:rPr>
                <w:rFonts w:ascii="Arial" w:hAnsi="Arial" w:cs="Arial"/>
                <w:szCs w:val="24"/>
              </w:rPr>
              <w:t>Rosemarkie</w:t>
            </w:r>
            <w:proofErr w:type="spellEnd"/>
            <w:r>
              <w:rPr>
                <w:rFonts w:ascii="Arial" w:hAnsi="Arial" w:cs="Arial"/>
                <w:szCs w:val="24"/>
              </w:rPr>
              <w:t xml:space="preserve"> have now commenced. Through the procurement process the successful tender came under the budget set for the completion of the works and therefore the estimated outturn has been amended to reflect this.</w:t>
            </w:r>
          </w:p>
          <w:p w:rsidR="00172E86" w:rsidRPr="00172E86" w:rsidRDefault="00172E86" w:rsidP="00E7647B">
            <w:pPr>
              <w:jc w:val="both"/>
              <w:rPr>
                <w:rFonts w:ascii="Arial" w:hAnsi="Arial" w:cs="Arial"/>
                <w:szCs w:val="24"/>
              </w:rPr>
            </w:pPr>
          </w:p>
        </w:tc>
      </w:tr>
      <w:tr w:rsidR="00172E86" w:rsidRPr="007214D1" w:rsidTr="0020128C">
        <w:trPr>
          <w:trHeight w:val="948"/>
        </w:trPr>
        <w:tc>
          <w:tcPr>
            <w:tcW w:w="817" w:type="dxa"/>
          </w:tcPr>
          <w:p w:rsidR="00172E86" w:rsidRDefault="00E84B4F" w:rsidP="00C05BEC">
            <w:pPr>
              <w:rPr>
                <w:rFonts w:ascii="Arial" w:hAnsi="Arial" w:cs="Arial"/>
                <w:szCs w:val="24"/>
              </w:rPr>
            </w:pPr>
            <w:r>
              <w:rPr>
                <w:rFonts w:ascii="Arial" w:hAnsi="Arial" w:cs="Arial"/>
                <w:szCs w:val="24"/>
              </w:rPr>
              <w:t>3</w:t>
            </w:r>
            <w:r w:rsidR="00172E86">
              <w:rPr>
                <w:rFonts w:ascii="Arial" w:hAnsi="Arial" w:cs="Arial"/>
                <w:szCs w:val="24"/>
              </w:rPr>
              <w:t>.5</w:t>
            </w:r>
          </w:p>
        </w:tc>
        <w:tc>
          <w:tcPr>
            <w:tcW w:w="9532" w:type="dxa"/>
          </w:tcPr>
          <w:p w:rsidR="00172E86" w:rsidRPr="00172E86" w:rsidRDefault="00172E86" w:rsidP="00172E86">
            <w:pPr>
              <w:jc w:val="both"/>
              <w:rPr>
                <w:rFonts w:ascii="Arial" w:hAnsi="Arial" w:cs="Arial"/>
                <w:szCs w:val="24"/>
              </w:rPr>
            </w:pPr>
            <w:r w:rsidRPr="001D69E8">
              <w:rPr>
                <w:rFonts w:ascii="Arial" w:hAnsi="Arial" w:cs="Arial"/>
                <w:szCs w:val="24"/>
              </w:rPr>
              <w:t>The estimated year-end position is a deficit of £</w:t>
            </w:r>
            <w:r w:rsidR="001D69E8" w:rsidRPr="001D69E8">
              <w:rPr>
                <w:rFonts w:ascii="Arial" w:hAnsi="Arial" w:cs="Arial"/>
                <w:szCs w:val="24"/>
              </w:rPr>
              <w:t>29</w:t>
            </w:r>
            <w:r w:rsidRPr="001D69E8">
              <w:rPr>
                <w:rFonts w:ascii="Arial" w:hAnsi="Arial" w:cs="Arial"/>
                <w:szCs w:val="24"/>
              </w:rPr>
              <w:t>,498 against a budgeted deficit of £131,228. This</w:t>
            </w:r>
            <w:r>
              <w:rPr>
                <w:rFonts w:ascii="Arial" w:hAnsi="Arial" w:cs="Arial"/>
                <w:szCs w:val="24"/>
              </w:rPr>
              <w:t xml:space="preserve"> represents a positive variance against budget as a result of the reduced project costs.</w:t>
            </w:r>
          </w:p>
        </w:tc>
      </w:tr>
      <w:tr w:rsidR="00C05BEC" w:rsidRPr="007214D1" w:rsidTr="0020128C">
        <w:trPr>
          <w:trHeight w:val="255"/>
        </w:trPr>
        <w:tc>
          <w:tcPr>
            <w:tcW w:w="817" w:type="dxa"/>
          </w:tcPr>
          <w:p w:rsidR="00C05BEC" w:rsidRPr="00646D49" w:rsidRDefault="00E84B4F" w:rsidP="00316ED3">
            <w:pPr>
              <w:rPr>
                <w:rFonts w:ascii="Arial" w:hAnsi="Arial" w:cs="Arial"/>
                <w:b/>
                <w:szCs w:val="24"/>
              </w:rPr>
            </w:pPr>
            <w:r>
              <w:rPr>
                <w:rFonts w:ascii="Arial" w:hAnsi="Arial" w:cs="Arial"/>
                <w:b/>
                <w:szCs w:val="24"/>
              </w:rPr>
              <w:t>4</w:t>
            </w:r>
            <w:r w:rsidR="00C05BEC">
              <w:rPr>
                <w:rFonts w:ascii="Arial" w:hAnsi="Arial" w:cs="Arial"/>
                <w:b/>
                <w:szCs w:val="24"/>
              </w:rPr>
              <w:t>.</w:t>
            </w:r>
          </w:p>
        </w:tc>
        <w:tc>
          <w:tcPr>
            <w:tcW w:w="9532" w:type="dxa"/>
          </w:tcPr>
          <w:p w:rsidR="00C05BEC" w:rsidRDefault="00C05BEC" w:rsidP="00E7647B">
            <w:pPr>
              <w:jc w:val="both"/>
              <w:rPr>
                <w:rFonts w:ascii="Arial" w:hAnsi="Arial" w:cs="Arial"/>
                <w:b/>
                <w:szCs w:val="24"/>
              </w:rPr>
            </w:pPr>
            <w:r>
              <w:rPr>
                <w:rFonts w:ascii="Arial" w:hAnsi="Arial" w:cs="Arial"/>
                <w:b/>
                <w:szCs w:val="24"/>
              </w:rPr>
              <w:t xml:space="preserve">Proposed Budget for </w:t>
            </w:r>
            <w:r w:rsidR="00395FF3">
              <w:rPr>
                <w:rFonts w:ascii="Arial" w:hAnsi="Arial" w:cs="Arial"/>
                <w:b/>
                <w:szCs w:val="24"/>
              </w:rPr>
              <w:t>2019/20</w:t>
            </w:r>
          </w:p>
          <w:p w:rsidR="00C05BEC" w:rsidRDefault="00C05BEC" w:rsidP="00E7647B">
            <w:pPr>
              <w:jc w:val="both"/>
              <w:rPr>
                <w:rFonts w:ascii="Arial" w:hAnsi="Arial" w:cs="Arial"/>
                <w:b/>
                <w:szCs w:val="24"/>
              </w:rPr>
            </w:pPr>
          </w:p>
        </w:tc>
      </w:tr>
      <w:tr w:rsidR="00C05BEC" w:rsidRPr="007214D1" w:rsidTr="0020128C">
        <w:tc>
          <w:tcPr>
            <w:tcW w:w="817" w:type="dxa"/>
          </w:tcPr>
          <w:p w:rsidR="00C05BEC" w:rsidRPr="00E7647B" w:rsidRDefault="00E84B4F" w:rsidP="00C05BEC">
            <w:pPr>
              <w:rPr>
                <w:rFonts w:ascii="Arial" w:hAnsi="Arial" w:cs="Arial"/>
                <w:szCs w:val="24"/>
              </w:rPr>
            </w:pPr>
            <w:r>
              <w:rPr>
                <w:rFonts w:ascii="Arial" w:hAnsi="Arial" w:cs="Arial"/>
                <w:szCs w:val="24"/>
              </w:rPr>
              <w:t>4</w:t>
            </w:r>
            <w:r w:rsidR="00C05BEC" w:rsidRPr="00E7647B">
              <w:rPr>
                <w:rFonts w:ascii="Arial" w:hAnsi="Arial" w:cs="Arial"/>
                <w:szCs w:val="24"/>
              </w:rPr>
              <w:t>.1</w:t>
            </w:r>
          </w:p>
        </w:tc>
        <w:tc>
          <w:tcPr>
            <w:tcW w:w="9532" w:type="dxa"/>
          </w:tcPr>
          <w:p w:rsidR="00C05BEC" w:rsidRPr="00791F74" w:rsidRDefault="00C05BEC" w:rsidP="0020128C">
            <w:pPr>
              <w:jc w:val="both"/>
              <w:rPr>
                <w:rFonts w:ascii="Arial" w:hAnsi="Arial" w:cs="Arial"/>
                <w:szCs w:val="24"/>
              </w:rPr>
            </w:pPr>
            <w:r w:rsidRPr="00791F74">
              <w:rPr>
                <w:rFonts w:ascii="Arial" w:hAnsi="Arial" w:cs="Arial"/>
                <w:szCs w:val="24"/>
              </w:rPr>
              <w:t xml:space="preserve">A proposed budget for </w:t>
            </w:r>
            <w:r>
              <w:rPr>
                <w:rFonts w:ascii="Arial" w:hAnsi="Arial" w:cs="Arial"/>
                <w:szCs w:val="24"/>
              </w:rPr>
              <w:t>201</w:t>
            </w:r>
            <w:r w:rsidR="00395FF3">
              <w:rPr>
                <w:rFonts w:ascii="Arial" w:hAnsi="Arial" w:cs="Arial"/>
                <w:szCs w:val="24"/>
              </w:rPr>
              <w:t>9/20</w:t>
            </w:r>
            <w:r w:rsidRPr="00162416">
              <w:rPr>
                <w:rFonts w:ascii="Arial" w:hAnsi="Arial" w:cs="Arial"/>
                <w:szCs w:val="24"/>
              </w:rPr>
              <w:t xml:space="preserve"> </w:t>
            </w:r>
            <w:r w:rsidR="00230238">
              <w:rPr>
                <w:rFonts w:ascii="Arial" w:hAnsi="Arial" w:cs="Arial"/>
                <w:szCs w:val="24"/>
              </w:rPr>
              <w:t xml:space="preserve">is set out in </w:t>
            </w:r>
            <w:r w:rsidR="00230238" w:rsidRPr="00551E30">
              <w:rPr>
                <w:rFonts w:ascii="Arial" w:hAnsi="Arial" w:cs="Arial"/>
                <w:b/>
                <w:szCs w:val="24"/>
              </w:rPr>
              <w:t>Appendix 2</w:t>
            </w:r>
            <w:r>
              <w:rPr>
                <w:rFonts w:ascii="Arial" w:hAnsi="Arial" w:cs="Arial"/>
                <w:szCs w:val="24"/>
              </w:rPr>
              <w:t xml:space="preserve"> of the report </w:t>
            </w:r>
            <w:r w:rsidR="001A4CF7">
              <w:rPr>
                <w:rFonts w:ascii="Arial" w:hAnsi="Arial" w:cs="Arial"/>
                <w:szCs w:val="24"/>
              </w:rPr>
              <w:t>for</w:t>
            </w:r>
            <w:r>
              <w:rPr>
                <w:rFonts w:ascii="Arial" w:hAnsi="Arial" w:cs="Arial"/>
                <w:szCs w:val="24"/>
              </w:rPr>
              <w:t xml:space="preserve"> the Committee to consider</w:t>
            </w:r>
            <w:r w:rsidRPr="00791F74">
              <w:rPr>
                <w:rFonts w:ascii="Arial" w:hAnsi="Arial" w:cs="Arial"/>
                <w:szCs w:val="24"/>
              </w:rPr>
              <w:t xml:space="preserve">. </w:t>
            </w:r>
          </w:p>
        </w:tc>
      </w:tr>
      <w:tr w:rsidR="0020128C" w:rsidRPr="007214D1" w:rsidTr="0020128C">
        <w:tc>
          <w:tcPr>
            <w:tcW w:w="817" w:type="dxa"/>
          </w:tcPr>
          <w:p w:rsidR="0020128C" w:rsidRDefault="0020128C" w:rsidP="00791F74">
            <w:pPr>
              <w:rPr>
                <w:rFonts w:ascii="Arial" w:hAnsi="Arial" w:cs="Arial"/>
                <w:szCs w:val="24"/>
              </w:rPr>
            </w:pPr>
          </w:p>
        </w:tc>
        <w:tc>
          <w:tcPr>
            <w:tcW w:w="9532" w:type="dxa"/>
          </w:tcPr>
          <w:p w:rsidR="0020128C" w:rsidRPr="00D57AC4" w:rsidRDefault="0020128C" w:rsidP="00E7647B">
            <w:pPr>
              <w:jc w:val="both"/>
              <w:rPr>
                <w:rFonts w:ascii="Arial" w:hAnsi="Arial" w:cs="Arial"/>
                <w:b/>
                <w:szCs w:val="24"/>
              </w:rPr>
            </w:pPr>
          </w:p>
        </w:tc>
      </w:tr>
      <w:tr w:rsidR="00C05BEC" w:rsidRPr="007214D1" w:rsidTr="0020128C">
        <w:tc>
          <w:tcPr>
            <w:tcW w:w="817" w:type="dxa"/>
          </w:tcPr>
          <w:p w:rsidR="00C05BEC" w:rsidRDefault="00E84B4F" w:rsidP="00791F74">
            <w:pPr>
              <w:rPr>
                <w:rFonts w:ascii="Arial" w:hAnsi="Arial" w:cs="Arial"/>
                <w:szCs w:val="24"/>
              </w:rPr>
            </w:pPr>
            <w:r>
              <w:rPr>
                <w:rFonts w:ascii="Arial" w:hAnsi="Arial" w:cs="Arial"/>
                <w:szCs w:val="24"/>
              </w:rPr>
              <w:t>4.2</w:t>
            </w:r>
          </w:p>
          <w:p w:rsidR="00C05BEC" w:rsidRPr="007214D1" w:rsidRDefault="00C05BEC" w:rsidP="00791F74">
            <w:pPr>
              <w:rPr>
                <w:rFonts w:ascii="Arial" w:hAnsi="Arial" w:cs="Arial"/>
                <w:szCs w:val="24"/>
              </w:rPr>
            </w:pPr>
          </w:p>
        </w:tc>
        <w:tc>
          <w:tcPr>
            <w:tcW w:w="9532" w:type="dxa"/>
          </w:tcPr>
          <w:p w:rsidR="00C05BEC" w:rsidRPr="00D57AC4" w:rsidRDefault="00C05BEC" w:rsidP="00E7647B">
            <w:pPr>
              <w:jc w:val="both"/>
              <w:rPr>
                <w:rFonts w:ascii="Arial" w:hAnsi="Arial" w:cs="Arial"/>
                <w:b/>
                <w:szCs w:val="24"/>
              </w:rPr>
            </w:pPr>
            <w:r w:rsidRPr="00D57AC4">
              <w:rPr>
                <w:rFonts w:ascii="Arial" w:hAnsi="Arial" w:cs="Arial"/>
                <w:b/>
                <w:szCs w:val="24"/>
              </w:rPr>
              <w:t>Rental Income</w:t>
            </w:r>
          </w:p>
          <w:p w:rsidR="00351C48" w:rsidRDefault="00351C48" w:rsidP="003A3A80">
            <w:pPr>
              <w:jc w:val="both"/>
              <w:rPr>
                <w:rFonts w:ascii="Arial" w:hAnsi="Arial" w:cs="Arial"/>
                <w:szCs w:val="24"/>
              </w:rPr>
            </w:pPr>
            <w:r>
              <w:rPr>
                <w:rFonts w:ascii="Arial" w:hAnsi="Arial" w:cs="Arial"/>
                <w:szCs w:val="24"/>
              </w:rPr>
              <w:t>The income for 2019/20 is due from expected interest and rental income for Fo</w:t>
            </w:r>
            <w:r w:rsidR="00E84B4F">
              <w:rPr>
                <w:rFonts w:ascii="Arial" w:hAnsi="Arial" w:cs="Arial"/>
                <w:szCs w:val="24"/>
              </w:rPr>
              <w:t>r</w:t>
            </w:r>
            <w:r>
              <w:rPr>
                <w:rFonts w:ascii="Arial" w:hAnsi="Arial" w:cs="Arial"/>
                <w:szCs w:val="24"/>
              </w:rPr>
              <w:t>trose Town Ha</w:t>
            </w:r>
            <w:r w:rsidR="00BD06DB">
              <w:rPr>
                <w:rFonts w:ascii="Arial" w:hAnsi="Arial" w:cs="Arial"/>
                <w:szCs w:val="24"/>
              </w:rPr>
              <w:t>ll, King George V Playing Field</w:t>
            </w:r>
            <w:r w:rsidR="003A3A80">
              <w:rPr>
                <w:rFonts w:ascii="Arial" w:hAnsi="Arial" w:cs="Arial"/>
                <w:szCs w:val="24"/>
              </w:rPr>
              <w:t xml:space="preserve"> (rent reviews due in April 2019),</w:t>
            </w:r>
            <w:r>
              <w:rPr>
                <w:rFonts w:ascii="Arial" w:hAnsi="Arial" w:cs="Arial"/>
                <w:szCs w:val="24"/>
              </w:rPr>
              <w:t xml:space="preserve"> Fortrose Bay Caravan Site, </w:t>
            </w:r>
            <w:proofErr w:type="spellStart"/>
            <w:r>
              <w:rPr>
                <w:rFonts w:ascii="Arial" w:hAnsi="Arial" w:cs="Arial"/>
                <w:szCs w:val="24"/>
              </w:rPr>
              <w:t>Rosemarkie</w:t>
            </w:r>
            <w:proofErr w:type="spellEnd"/>
            <w:r>
              <w:rPr>
                <w:rFonts w:ascii="Arial" w:hAnsi="Arial" w:cs="Arial"/>
                <w:szCs w:val="24"/>
              </w:rPr>
              <w:t xml:space="preserve"> Caravan Site and the Golf Club Car Park. </w:t>
            </w:r>
            <w:r w:rsidR="003A3A80">
              <w:rPr>
                <w:rFonts w:ascii="Arial" w:hAnsi="Arial" w:cs="Arial"/>
                <w:szCs w:val="24"/>
              </w:rPr>
              <w:t xml:space="preserve">Pending rent reviews, it is proposed for the budget to remain </w:t>
            </w:r>
            <w:r w:rsidR="003A3A80" w:rsidRPr="0020128C">
              <w:rPr>
                <w:rFonts w:ascii="Arial" w:hAnsi="Arial" w:cs="Arial"/>
                <w:szCs w:val="24"/>
              </w:rPr>
              <w:t>at £13,022.</w:t>
            </w:r>
          </w:p>
          <w:p w:rsidR="003A3A80" w:rsidRPr="00A04824" w:rsidRDefault="003A3A80" w:rsidP="003A3A80">
            <w:pPr>
              <w:jc w:val="both"/>
              <w:rPr>
                <w:rFonts w:ascii="Arial" w:hAnsi="Arial" w:cs="Arial"/>
                <w:szCs w:val="24"/>
              </w:rPr>
            </w:pPr>
          </w:p>
        </w:tc>
      </w:tr>
      <w:tr w:rsidR="00C05BEC" w:rsidRPr="007214D1" w:rsidTr="00E84B4F">
        <w:tc>
          <w:tcPr>
            <w:tcW w:w="817" w:type="dxa"/>
          </w:tcPr>
          <w:p w:rsidR="00C05BEC" w:rsidRDefault="00E84B4F" w:rsidP="00C05BEC">
            <w:pPr>
              <w:rPr>
                <w:rFonts w:ascii="Arial" w:hAnsi="Arial" w:cs="Arial"/>
                <w:szCs w:val="24"/>
              </w:rPr>
            </w:pPr>
            <w:r>
              <w:rPr>
                <w:rFonts w:ascii="Arial" w:hAnsi="Arial" w:cs="Arial"/>
                <w:szCs w:val="24"/>
              </w:rPr>
              <w:t>4.3</w:t>
            </w:r>
          </w:p>
        </w:tc>
        <w:tc>
          <w:tcPr>
            <w:tcW w:w="9532" w:type="dxa"/>
          </w:tcPr>
          <w:p w:rsidR="00C05BEC" w:rsidRDefault="00551E30" w:rsidP="000A0FB2">
            <w:pPr>
              <w:jc w:val="both"/>
              <w:rPr>
                <w:rFonts w:ascii="Arial" w:hAnsi="Arial" w:cs="Arial"/>
                <w:szCs w:val="24"/>
              </w:rPr>
            </w:pPr>
            <w:r>
              <w:rPr>
                <w:rFonts w:ascii="Arial" w:hAnsi="Arial" w:cs="Arial"/>
                <w:b/>
                <w:szCs w:val="24"/>
              </w:rPr>
              <w:t>Interest on</w:t>
            </w:r>
            <w:r w:rsidR="00C05BEC" w:rsidRPr="00D57AC4">
              <w:rPr>
                <w:rFonts w:ascii="Arial" w:hAnsi="Arial" w:cs="Arial"/>
                <w:b/>
                <w:szCs w:val="24"/>
              </w:rPr>
              <w:t xml:space="preserve"> Revenue Balances </w:t>
            </w:r>
            <w:r w:rsidR="00C05BEC" w:rsidRPr="002304BF">
              <w:rPr>
                <w:rFonts w:ascii="Arial" w:hAnsi="Arial" w:cs="Arial"/>
                <w:szCs w:val="24"/>
              </w:rPr>
              <w:t>– Assuming that the current low interest rates continue</w:t>
            </w:r>
            <w:r w:rsidR="00E84B4F">
              <w:rPr>
                <w:rFonts w:ascii="Arial" w:hAnsi="Arial" w:cs="Arial"/>
                <w:szCs w:val="24"/>
              </w:rPr>
              <w:t xml:space="preserve"> and as a result of the anticipated reduced level of reserves</w:t>
            </w:r>
            <w:r w:rsidR="00C05BEC" w:rsidRPr="002304BF">
              <w:rPr>
                <w:rFonts w:ascii="Arial" w:hAnsi="Arial" w:cs="Arial"/>
                <w:szCs w:val="24"/>
              </w:rPr>
              <w:t xml:space="preserve"> it is anticipated that </w:t>
            </w:r>
            <w:r w:rsidR="00C05BEC" w:rsidRPr="00791F74">
              <w:rPr>
                <w:rFonts w:ascii="Arial" w:hAnsi="Arial" w:cs="Arial"/>
                <w:szCs w:val="24"/>
              </w:rPr>
              <w:t>interest receivable on projected surplus balances w</w:t>
            </w:r>
            <w:r w:rsidR="00351C48">
              <w:rPr>
                <w:rFonts w:ascii="Arial" w:hAnsi="Arial" w:cs="Arial"/>
                <w:szCs w:val="24"/>
              </w:rPr>
              <w:t xml:space="preserve">ill </w:t>
            </w:r>
            <w:r w:rsidR="00E84B4F">
              <w:rPr>
                <w:rFonts w:ascii="Arial" w:hAnsi="Arial" w:cs="Arial"/>
                <w:szCs w:val="24"/>
              </w:rPr>
              <w:t>be approximately £500</w:t>
            </w:r>
            <w:r w:rsidR="00C05BEC" w:rsidRPr="00791F74">
              <w:rPr>
                <w:rFonts w:ascii="Arial" w:hAnsi="Arial" w:cs="Arial"/>
                <w:szCs w:val="24"/>
              </w:rPr>
              <w:t xml:space="preserve"> in </w:t>
            </w:r>
            <w:r w:rsidR="00316ED3">
              <w:rPr>
                <w:rFonts w:ascii="Arial" w:hAnsi="Arial" w:cs="Arial"/>
                <w:szCs w:val="24"/>
              </w:rPr>
              <w:t>201</w:t>
            </w:r>
            <w:r w:rsidR="0092425B">
              <w:rPr>
                <w:rFonts w:ascii="Arial" w:hAnsi="Arial" w:cs="Arial"/>
                <w:szCs w:val="24"/>
              </w:rPr>
              <w:t>9</w:t>
            </w:r>
            <w:r w:rsidR="00C05BEC">
              <w:rPr>
                <w:rFonts w:ascii="Arial" w:hAnsi="Arial" w:cs="Arial"/>
                <w:szCs w:val="24"/>
              </w:rPr>
              <w:t>/</w:t>
            </w:r>
            <w:r w:rsidR="0092425B">
              <w:rPr>
                <w:rFonts w:ascii="Arial" w:hAnsi="Arial" w:cs="Arial"/>
                <w:szCs w:val="24"/>
              </w:rPr>
              <w:t>20</w:t>
            </w:r>
            <w:r w:rsidR="00C05BEC" w:rsidRPr="00162416">
              <w:rPr>
                <w:rFonts w:ascii="Arial" w:hAnsi="Arial" w:cs="Arial"/>
                <w:szCs w:val="24"/>
              </w:rPr>
              <w:t>.</w:t>
            </w:r>
          </w:p>
          <w:p w:rsidR="00C05BEC" w:rsidRDefault="00C05BEC">
            <w:pPr>
              <w:jc w:val="both"/>
              <w:rPr>
                <w:rFonts w:ascii="Arial" w:hAnsi="Arial" w:cs="Arial"/>
                <w:szCs w:val="24"/>
              </w:rPr>
            </w:pPr>
          </w:p>
        </w:tc>
      </w:tr>
      <w:tr w:rsidR="00C05BEC" w:rsidRPr="007214D1" w:rsidTr="00E84B4F">
        <w:tc>
          <w:tcPr>
            <w:tcW w:w="817" w:type="dxa"/>
          </w:tcPr>
          <w:p w:rsidR="00C05BEC" w:rsidRDefault="00E84B4F" w:rsidP="00791F74">
            <w:pPr>
              <w:rPr>
                <w:rFonts w:ascii="Arial" w:hAnsi="Arial" w:cs="Arial"/>
                <w:szCs w:val="24"/>
              </w:rPr>
            </w:pPr>
            <w:r>
              <w:rPr>
                <w:rFonts w:ascii="Arial" w:hAnsi="Arial" w:cs="Arial"/>
                <w:szCs w:val="24"/>
              </w:rPr>
              <w:t>5.</w:t>
            </w:r>
          </w:p>
        </w:tc>
        <w:tc>
          <w:tcPr>
            <w:tcW w:w="9532" w:type="dxa"/>
          </w:tcPr>
          <w:p w:rsidR="00C05BEC" w:rsidRPr="00E8471D" w:rsidRDefault="00C05BEC" w:rsidP="000A0FB2">
            <w:pPr>
              <w:jc w:val="both"/>
              <w:rPr>
                <w:rFonts w:ascii="Arial" w:hAnsi="Arial" w:cs="Arial"/>
                <w:b/>
                <w:szCs w:val="24"/>
              </w:rPr>
            </w:pPr>
            <w:r w:rsidRPr="00E8471D">
              <w:rPr>
                <w:rFonts w:ascii="Arial" w:hAnsi="Arial" w:cs="Arial"/>
                <w:b/>
                <w:szCs w:val="24"/>
              </w:rPr>
              <w:t>Anticipated Expenditure</w:t>
            </w:r>
          </w:p>
          <w:p w:rsidR="00C05BEC" w:rsidRPr="00A04824" w:rsidRDefault="00C05BEC" w:rsidP="001A4CF7">
            <w:pPr>
              <w:jc w:val="both"/>
              <w:rPr>
                <w:rFonts w:ascii="Arial" w:hAnsi="Arial" w:cs="Arial"/>
                <w:szCs w:val="24"/>
              </w:rPr>
            </w:pPr>
          </w:p>
        </w:tc>
      </w:tr>
      <w:tr w:rsidR="00806992" w:rsidRPr="007214D1" w:rsidTr="00E84B4F">
        <w:tc>
          <w:tcPr>
            <w:tcW w:w="817" w:type="dxa"/>
          </w:tcPr>
          <w:p w:rsidR="00806992" w:rsidRDefault="00E84B4F" w:rsidP="00791F74">
            <w:pPr>
              <w:rPr>
                <w:rFonts w:ascii="Arial" w:hAnsi="Arial" w:cs="Arial"/>
                <w:szCs w:val="24"/>
              </w:rPr>
            </w:pPr>
            <w:r>
              <w:rPr>
                <w:rFonts w:ascii="Arial" w:hAnsi="Arial" w:cs="Arial"/>
                <w:szCs w:val="24"/>
              </w:rPr>
              <w:t>5.1</w:t>
            </w:r>
          </w:p>
        </w:tc>
        <w:tc>
          <w:tcPr>
            <w:tcW w:w="9532" w:type="dxa"/>
          </w:tcPr>
          <w:p w:rsidR="00FF70C5" w:rsidRDefault="006B2627" w:rsidP="009A68A1">
            <w:pPr>
              <w:jc w:val="both"/>
              <w:rPr>
                <w:rFonts w:ascii="Arial" w:hAnsi="Arial" w:cs="Arial"/>
                <w:b/>
                <w:szCs w:val="24"/>
              </w:rPr>
            </w:pPr>
            <w:r>
              <w:rPr>
                <w:rFonts w:ascii="Arial" w:hAnsi="Arial" w:cs="Arial"/>
                <w:b/>
                <w:szCs w:val="24"/>
              </w:rPr>
              <w:t>Central Support</w:t>
            </w:r>
          </w:p>
          <w:p w:rsidR="00806992" w:rsidRDefault="006B2627" w:rsidP="003A3A80">
            <w:pPr>
              <w:jc w:val="both"/>
              <w:rPr>
                <w:rFonts w:ascii="Arial" w:hAnsi="Arial" w:cs="Arial"/>
                <w:szCs w:val="24"/>
              </w:rPr>
            </w:pPr>
            <w:r>
              <w:rPr>
                <w:rFonts w:ascii="Arial" w:hAnsi="Arial" w:cs="Arial"/>
                <w:szCs w:val="24"/>
              </w:rPr>
              <w:t xml:space="preserve">Expenditure in this regard relates to support from Corporate Resources and a proportion of the costs of the Common Good Fund Officer post.  It is proposed that a sum of </w:t>
            </w:r>
            <w:r w:rsidR="001A45AF">
              <w:rPr>
                <w:rFonts w:ascii="Arial" w:hAnsi="Arial" w:cs="Arial"/>
                <w:szCs w:val="24"/>
              </w:rPr>
              <w:t>£1,000</w:t>
            </w:r>
            <w:r>
              <w:rPr>
                <w:rFonts w:ascii="Arial" w:hAnsi="Arial" w:cs="Arial"/>
                <w:szCs w:val="24"/>
              </w:rPr>
              <w:t xml:space="preserve"> is budgeted. </w:t>
            </w:r>
          </w:p>
          <w:p w:rsidR="003A3A80" w:rsidRPr="0092425B" w:rsidRDefault="003A3A80" w:rsidP="003A3A80">
            <w:pPr>
              <w:jc w:val="both"/>
              <w:rPr>
                <w:rFonts w:ascii="Arial" w:hAnsi="Arial" w:cs="Arial"/>
                <w:i/>
                <w:szCs w:val="24"/>
              </w:rPr>
            </w:pPr>
          </w:p>
        </w:tc>
      </w:tr>
      <w:tr w:rsidR="00C05BEC" w:rsidRPr="00072254" w:rsidTr="00E84B4F">
        <w:tc>
          <w:tcPr>
            <w:tcW w:w="817" w:type="dxa"/>
          </w:tcPr>
          <w:p w:rsidR="00C05BEC" w:rsidRPr="001738B1" w:rsidRDefault="006632C5" w:rsidP="00806992">
            <w:pPr>
              <w:rPr>
                <w:rFonts w:ascii="Arial" w:hAnsi="Arial" w:cs="Arial"/>
                <w:szCs w:val="24"/>
              </w:rPr>
            </w:pPr>
            <w:r w:rsidRPr="001738B1">
              <w:rPr>
                <w:rFonts w:ascii="Arial" w:hAnsi="Arial" w:cs="Arial"/>
                <w:szCs w:val="24"/>
              </w:rPr>
              <w:t>5.2</w:t>
            </w:r>
          </w:p>
        </w:tc>
        <w:tc>
          <w:tcPr>
            <w:tcW w:w="9532" w:type="dxa"/>
          </w:tcPr>
          <w:p w:rsidR="00FF70C5" w:rsidRPr="001738B1" w:rsidRDefault="00C05BEC" w:rsidP="000A0FB2">
            <w:pPr>
              <w:jc w:val="both"/>
              <w:rPr>
                <w:rFonts w:ascii="Arial" w:hAnsi="Arial" w:cs="Arial"/>
                <w:b/>
                <w:szCs w:val="24"/>
              </w:rPr>
            </w:pPr>
            <w:r w:rsidRPr="001738B1">
              <w:rPr>
                <w:rFonts w:ascii="Arial" w:hAnsi="Arial" w:cs="Arial"/>
                <w:b/>
                <w:szCs w:val="24"/>
              </w:rPr>
              <w:t>Property Costs</w:t>
            </w:r>
          </w:p>
          <w:p w:rsidR="00FF70C5" w:rsidRPr="00B26D47" w:rsidRDefault="006B2627" w:rsidP="006B2627">
            <w:pPr>
              <w:jc w:val="both"/>
              <w:rPr>
                <w:rFonts w:ascii="Arial" w:hAnsi="Arial" w:cs="Arial"/>
                <w:szCs w:val="24"/>
              </w:rPr>
            </w:pPr>
            <w:r w:rsidRPr="001738B1">
              <w:rPr>
                <w:rFonts w:ascii="Arial" w:hAnsi="Arial" w:cs="Arial"/>
                <w:szCs w:val="24"/>
              </w:rPr>
              <w:t>Property Costs – This relates to insurance and property costs which have tended to be low as the properties are leased.  It is s</w:t>
            </w:r>
            <w:r w:rsidR="006632C5" w:rsidRPr="001738B1">
              <w:rPr>
                <w:rFonts w:ascii="Arial" w:hAnsi="Arial" w:cs="Arial"/>
                <w:szCs w:val="24"/>
              </w:rPr>
              <w:t xml:space="preserve">uggested that a revenue property budget of </w:t>
            </w:r>
            <w:r w:rsidR="00B26D47" w:rsidRPr="001738B1">
              <w:rPr>
                <w:rFonts w:ascii="Arial" w:hAnsi="Arial" w:cs="Arial"/>
                <w:szCs w:val="24"/>
              </w:rPr>
              <w:t xml:space="preserve">£2,000 </w:t>
            </w:r>
            <w:r w:rsidR="006632C5" w:rsidRPr="001738B1">
              <w:rPr>
                <w:rFonts w:ascii="Arial" w:hAnsi="Arial" w:cs="Arial"/>
                <w:szCs w:val="24"/>
              </w:rPr>
              <w:t>be set for 2019/20 to cover urgent repair works.</w:t>
            </w:r>
          </w:p>
        </w:tc>
      </w:tr>
      <w:tr w:rsidR="00C05BEC" w:rsidRPr="007214D1" w:rsidTr="00E84B4F">
        <w:tc>
          <w:tcPr>
            <w:tcW w:w="817" w:type="dxa"/>
          </w:tcPr>
          <w:p w:rsidR="00C05BEC" w:rsidRPr="001738B1" w:rsidRDefault="00C05BEC" w:rsidP="00791F74">
            <w:pPr>
              <w:rPr>
                <w:rFonts w:ascii="Arial" w:hAnsi="Arial" w:cs="Arial"/>
                <w:szCs w:val="24"/>
              </w:rPr>
            </w:pPr>
          </w:p>
        </w:tc>
        <w:tc>
          <w:tcPr>
            <w:tcW w:w="9532" w:type="dxa"/>
          </w:tcPr>
          <w:p w:rsidR="00C05BEC" w:rsidRPr="001738B1" w:rsidRDefault="00C05BEC" w:rsidP="000A0FB2">
            <w:pPr>
              <w:jc w:val="both"/>
              <w:rPr>
                <w:rFonts w:ascii="Arial" w:hAnsi="Arial" w:cs="Arial"/>
                <w:szCs w:val="24"/>
              </w:rPr>
            </w:pPr>
          </w:p>
        </w:tc>
      </w:tr>
      <w:tr w:rsidR="00C05BEC" w:rsidRPr="007214D1" w:rsidTr="00E84B4F">
        <w:tc>
          <w:tcPr>
            <w:tcW w:w="817" w:type="dxa"/>
          </w:tcPr>
          <w:p w:rsidR="00C05BEC" w:rsidRDefault="006632C5" w:rsidP="00C05BEC">
            <w:pPr>
              <w:rPr>
                <w:rFonts w:ascii="Arial" w:hAnsi="Arial" w:cs="Arial"/>
                <w:szCs w:val="24"/>
              </w:rPr>
            </w:pPr>
            <w:r>
              <w:rPr>
                <w:rFonts w:ascii="Arial" w:hAnsi="Arial" w:cs="Arial"/>
                <w:szCs w:val="24"/>
              </w:rPr>
              <w:lastRenderedPageBreak/>
              <w:t>5.</w:t>
            </w:r>
            <w:r w:rsidR="001738B1">
              <w:rPr>
                <w:rFonts w:ascii="Arial" w:hAnsi="Arial" w:cs="Arial"/>
                <w:szCs w:val="24"/>
              </w:rPr>
              <w:t>3</w:t>
            </w:r>
          </w:p>
        </w:tc>
        <w:tc>
          <w:tcPr>
            <w:tcW w:w="9532" w:type="dxa"/>
          </w:tcPr>
          <w:p w:rsidR="00C05BEC" w:rsidRPr="00D57AC4" w:rsidRDefault="00C05BEC" w:rsidP="000A0FB2">
            <w:pPr>
              <w:jc w:val="both"/>
              <w:rPr>
                <w:rFonts w:ascii="Arial" w:hAnsi="Arial" w:cs="Arial"/>
                <w:b/>
                <w:szCs w:val="24"/>
              </w:rPr>
            </w:pPr>
            <w:r w:rsidRPr="00D57AC4">
              <w:rPr>
                <w:rFonts w:ascii="Arial" w:hAnsi="Arial" w:cs="Arial"/>
                <w:b/>
                <w:szCs w:val="24"/>
              </w:rPr>
              <w:t xml:space="preserve">Grants to the Community   </w:t>
            </w:r>
          </w:p>
          <w:p w:rsidR="00C05BEC" w:rsidRDefault="00FF70C5" w:rsidP="00B26D47">
            <w:pPr>
              <w:jc w:val="both"/>
              <w:rPr>
                <w:rFonts w:ascii="Arial" w:hAnsi="Arial" w:cs="Arial"/>
                <w:szCs w:val="24"/>
              </w:rPr>
            </w:pPr>
            <w:r>
              <w:rPr>
                <w:rFonts w:ascii="Arial" w:hAnsi="Arial" w:cs="Arial"/>
                <w:szCs w:val="24"/>
              </w:rPr>
              <w:t>In order to protect reserves and the likely future requirement for protection or development of Common Good assets, it is proposed a budget of £1,000 be made available for small grants to community groups.</w:t>
            </w:r>
          </w:p>
          <w:p w:rsidR="00FF70C5" w:rsidRDefault="00FF70C5" w:rsidP="00FF70C5">
            <w:pPr>
              <w:jc w:val="both"/>
              <w:rPr>
                <w:rFonts w:ascii="Arial" w:hAnsi="Arial" w:cs="Arial"/>
                <w:szCs w:val="24"/>
              </w:rPr>
            </w:pPr>
          </w:p>
        </w:tc>
      </w:tr>
      <w:tr w:rsidR="006632C5" w:rsidRPr="007214D1" w:rsidTr="00E84B4F">
        <w:tc>
          <w:tcPr>
            <w:tcW w:w="817" w:type="dxa"/>
          </w:tcPr>
          <w:p w:rsidR="006632C5" w:rsidRDefault="006632C5" w:rsidP="00C05BEC">
            <w:pPr>
              <w:rPr>
                <w:rFonts w:ascii="Arial" w:hAnsi="Arial" w:cs="Arial"/>
                <w:szCs w:val="24"/>
              </w:rPr>
            </w:pPr>
            <w:r>
              <w:rPr>
                <w:rFonts w:ascii="Arial" w:hAnsi="Arial" w:cs="Arial"/>
                <w:szCs w:val="24"/>
              </w:rPr>
              <w:t>5.</w:t>
            </w:r>
            <w:r w:rsidR="001738B1">
              <w:rPr>
                <w:rFonts w:ascii="Arial" w:hAnsi="Arial" w:cs="Arial"/>
                <w:szCs w:val="24"/>
              </w:rPr>
              <w:t>4</w:t>
            </w:r>
          </w:p>
        </w:tc>
        <w:tc>
          <w:tcPr>
            <w:tcW w:w="9532" w:type="dxa"/>
          </w:tcPr>
          <w:p w:rsidR="006632C5" w:rsidRDefault="006632C5" w:rsidP="000A0FB2">
            <w:pPr>
              <w:jc w:val="both"/>
              <w:rPr>
                <w:rFonts w:ascii="Arial" w:hAnsi="Arial" w:cs="Arial"/>
                <w:b/>
                <w:szCs w:val="24"/>
              </w:rPr>
            </w:pPr>
            <w:r>
              <w:rPr>
                <w:rFonts w:ascii="Arial" w:hAnsi="Arial" w:cs="Arial"/>
                <w:b/>
                <w:szCs w:val="24"/>
              </w:rPr>
              <w:t>Projects</w:t>
            </w:r>
          </w:p>
          <w:p w:rsidR="006632C5" w:rsidRDefault="006632C5" w:rsidP="006632C5">
            <w:pPr>
              <w:contextualSpacing/>
              <w:jc w:val="both"/>
              <w:rPr>
                <w:rFonts w:ascii="Arial" w:hAnsi="Arial" w:cs="Arial"/>
                <w:szCs w:val="24"/>
              </w:rPr>
            </w:pPr>
            <w:r w:rsidRPr="00ED615F">
              <w:rPr>
                <w:rFonts w:ascii="Arial" w:hAnsi="Arial" w:cs="Arial"/>
                <w:szCs w:val="24"/>
              </w:rPr>
              <w:t>Capital projects for development or protection of assets would require separate consideration and an appropriate funding package which would be brought to future Committee for consideration.</w:t>
            </w:r>
          </w:p>
          <w:p w:rsidR="006632C5" w:rsidRPr="00D57AC4" w:rsidRDefault="006632C5" w:rsidP="000A0FB2">
            <w:pPr>
              <w:jc w:val="both"/>
              <w:rPr>
                <w:rFonts w:ascii="Arial" w:hAnsi="Arial" w:cs="Arial"/>
                <w:b/>
                <w:szCs w:val="24"/>
              </w:rPr>
            </w:pPr>
          </w:p>
        </w:tc>
      </w:tr>
      <w:tr w:rsidR="00716EB8" w:rsidRPr="007214D1" w:rsidTr="00E84B4F">
        <w:tc>
          <w:tcPr>
            <w:tcW w:w="817" w:type="dxa"/>
          </w:tcPr>
          <w:p w:rsidR="00716EB8" w:rsidRDefault="001738B1" w:rsidP="00C05BEC">
            <w:pPr>
              <w:rPr>
                <w:rFonts w:ascii="Arial" w:hAnsi="Arial" w:cs="Arial"/>
                <w:szCs w:val="24"/>
              </w:rPr>
            </w:pPr>
            <w:r>
              <w:rPr>
                <w:rFonts w:ascii="Arial" w:hAnsi="Arial" w:cs="Arial"/>
                <w:szCs w:val="24"/>
              </w:rPr>
              <w:t>5.5</w:t>
            </w:r>
            <w:r w:rsidR="00716EB8">
              <w:rPr>
                <w:rFonts w:ascii="Arial" w:hAnsi="Arial" w:cs="Arial"/>
                <w:szCs w:val="24"/>
              </w:rPr>
              <w:t xml:space="preserve"> </w:t>
            </w:r>
          </w:p>
        </w:tc>
        <w:tc>
          <w:tcPr>
            <w:tcW w:w="9532" w:type="dxa"/>
          </w:tcPr>
          <w:p w:rsidR="00FF70C5" w:rsidRPr="00FF70C5" w:rsidRDefault="00FF70C5" w:rsidP="00FD277D">
            <w:pPr>
              <w:contextualSpacing/>
              <w:jc w:val="both"/>
              <w:rPr>
                <w:rFonts w:ascii="Arial" w:hAnsi="Arial" w:cs="Arial"/>
                <w:szCs w:val="24"/>
              </w:rPr>
            </w:pPr>
            <w:r>
              <w:rPr>
                <w:rFonts w:ascii="Arial" w:hAnsi="Arial" w:cs="Arial"/>
                <w:szCs w:val="24"/>
              </w:rPr>
              <w:t>The proposed budget wi</w:t>
            </w:r>
            <w:r w:rsidR="00727BF3">
              <w:rPr>
                <w:rFonts w:ascii="Arial" w:hAnsi="Arial" w:cs="Arial"/>
                <w:szCs w:val="24"/>
              </w:rPr>
              <w:t>ll result in a surplus of £</w:t>
            </w:r>
            <w:r w:rsidR="00EA3771">
              <w:rPr>
                <w:rFonts w:ascii="Arial" w:hAnsi="Arial" w:cs="Arial"/>
                <w:szCs w:val="24"/>
              </w:rPr>
              <w:t>9,522</w:t>
            </w:r>
            <w:r w:rsidR="00B64CEE">
              <w:rPr>
                <w:rFonts w:ascii="Arial" w:hAnsi="Arial" w:cs="Arial"/>
                <w:szCs w:val="24"/>
              </w:rPr>
              <w:t xml:space="preserve">. </w:t>
            </w:r>
            <w:r>
              <w:rPr>
                <w:rFonts w:ascii="Arial" w:hAnsi="Arial" w:cs="Arial"/>
                <w:szCs w:val="24"/>
              </w:rPr>
              <w:t>Total available r</w:t>
            </w:r>
            <w:r w:rsidR="00B64CEE">
              <w:rPr>
                <w:rFonts w:ascii="Arial" w:hAnsi="Arial" w:cs="Arial"/>
                <w:szCs w:val="24"/>
              </w:rPr>
              <w:t xml:space="preserve">eserves as at 31 March 2018 were </w:t>
            </w:r>
            <w:r>
              <w:rPr>
                <w:rFonts w:ascii="Arial" w:hAnsi="Arial" w:cs="Arial"/>
                <w:szCs w:val="24"/>
              </w:rPr>
              <w:t>£</w:t>
            </w:r>
            <w:r w:rsidR="006632C5" w:rsidRPr="006632C5">
              <w:rPr>
                <w:rFonts w:ascii="Arial" w:hAnsi="Arial" w:cs="Arial"/>
                <w:szCs w:val="24"/>
              </w:rPr>
              <w:t>198,156</w:t>
            </w:r>
            <w:r w:rsidR="00EA3771">
              <w:rPr>
                <w:rFonts w:ascii="Arial" w:hAnsi="Arial" w:cs="Arial"/>
                <w:szCs w:val="24"/>
              </w:rPr>
              <w:t xml:space="preserve">.  </w:t>
            </w:r>
          </w:p>
        </w:tc>
      </w:tr>
      <w:tr w:rsidR="00716EB8" w:rsidRPr="007214D1" w:rsidTr="00E84B4F">
        <w:tc>
          <w:tcPr>
            <w:tcW w:w="817" w:type="dxa"/>
          </w:tcPr>
          <w:p w:rsidR="00716EB8" w:rsidRDefault="00716EB8" w:rsidP="00C05BEC">
            <w:pPr>
              <w:rPr>
                <w:rFonts w:ascii="Arial" w:hAnsi="Arial" w:cs="Arial"/>
                <w:szCs w:val="24"/>
              </w:rPr>
            </w:pPr>
          </w:p>
        </w:tc>
        <w:tc>
          <w:tcPr>
            <w:tcW w:w="9532" w:type="dxa"/>
          </w:tcPr>
          <w:p w:rsidR="00716EB8" w:rsidRPr="00D57AC4" w:rsidRDefault="00716EB8" w:rsidP="00FF70C5">
            <w:pPr>
              <w:contextualSpacing/>
              <w:rPr>
                <w:rFonts w:ascii="Arial" w:hAnsi="Arial" w:cs="Arial"/>
                <w:b/>
                <w:szCs w:val="24"/>
              </w:rPr>
            </w:pPr>
          </w:p>
        </w:tc>
      </w:tr>
      <w:tr w:rsidR="00C05BEC" w:rsidRPr="007214D1" w:rsidTr="00E84B4F">
        <w:trPr>
          <w:trHeight w:val="603"/>
        </w:trPr>
        <w:tc>
          <w:tcPr>
            <w:tcW w:w="817" w:type="dxa"/>
          </w:tcPr>
          <w:p w:rsidR="00C05BEC" w:rsidRPr="00906E6D" w:rsidRDefault="006632C5" w:rsidP="00416BFF">
            <w:pPr>
              <w:rPr>
                <w:rFonts w:ascii="Arial" w:hAnsi="Arial" w:cs="Arial"/>
                <w:b/>
                <w:szCs w:val="24"/>
              </w:rPr>
            </w:pPr>
            <w:r>
              <w:rPr>
                <w:rFonts w:ascii="Arial" w:hAnsi="Arial" w:cs="Arial"/>
                <w:b/>
                <w:szCs w:val="24"/>
              </w:rPr>
              <w:t>6</w:t>
            </w:r>
            <w:r w:rsidR="00C05BEC" w:rsidRPr="005E47A0">
              <w:rPr>
                <w:rFonts w:ascii="Arial" w:hAnsi="Arial" w:cs="Arial"/>
                <w:b/>
                <w:szCs w:val="24"/>
              </w:rPr>
              <w:t>.</w:t>
            </w:r>
          </w:p>
          <w:p w:rsidR="00C05BEC" w:rsidRPr="007214D1" w:rsidRDefault="00C05BEC" w:rsidP="00416BFF">
            <w:pPr>
              <w:rPr>
                <w:rFonts w:ascii="Arial" w:hAnsi="Arial" w:cs="Arial"/>
                <w:szCs w:val="24"/>
              </w:rPr>
            </w:pPr>
          </w:p>
        </w:tc>
        <w:tc>
          <w:tcPr>
            <w:tcW w:w="9532" w:type="dxa"/>
          </w:tcPr>
          <w:p w:rsidR="00C05BEC" w:rsidRPr="00A04824" w:rsidRDefault="00C05BEC" w:rsidP="00714186">
            <w:pPr>
              <w:rPr>
                <w:rFonts w:ascii="Arial" w:hAnsi="Arial" w:cs="Arial"/>
                <w:szCs w:val="24"/>
              </w:rPr>
            </w:pPr>
            <w:r w:rsidRPr="00906E6D">
              <w:rPr>
                <w:rFonts w:ascii="Arial" w:hAnsi="Arial" w:cs="Arial"/>
                <w:b/>
                <w:szCs w:val="24"/>
              </w:rPr>
              <w:t>Implications</w:t>
            </w:r>
          </w:p>
        </w:tc>
      </w:tr>
      <w:tr w:rsidR="00C05BEC" w:rsidRPr="007214D1" w:rsidTr="00E84B4F">
        <w:trPr>
          <w:trHeight w:val="603"/>
        </w:trPr>
        <w:tc>
          <w:tcPr>
            <w:tcW w:w="817" w:type="dxa"/>
          </w:tcPr>
          <w:p w:rsidR="00C05BEC" w:rsidRPr="002A5EA8" w:rsidRDefault="006632C5" w:rsidP="005677A6">
            <w:pPr>
              <w:rPr>
                <w:rFonts w:ascii="Arial" w:hAnsi="Arial" w:cs="Arial"/>
                <w:szCs w:val="24"/>
              </w:rPr>
            </w:pPr>
            <w:r>
              <w:rPr>
                <w:rFonts w:ascii="Arial" w:hAnsi="Arial" w:cs="Arial"/>
                <w:szCs w:val="24"/>
              </w:rPr>
              <w:t>6</w:t>
            </w:r>
            <w:r w:rsidR="00C05BEC" w:rsidRPr="002A5EA8">
              <w:rPr>
                <w:rFonts w:ascii="Arial" w:hAnsi="Arial" w:cs="Arial"/>
                <w:szCs w:val="24"/>
              </w:rPr>
              <w:t>.1</w:t>
            </w:r>
          </w:p>
        </w:tc>
        <w:tc>
          <w:tcPr>
            <w:tcW w:w="9532" w:type="dxa"/>
          </w:tcPr>
          <w:p w:rsidR="00C05BEC" w:rsidRDefault="00C05BEC" w:rsidP="00FD277D">
            <w:pPr>
              <w:jc w:val="both"/>
              <w:rPr>
                <w:rFonts w:ascii="Arial" w:hAnsi="Arial" w:cs="Arial"/>
                <w:szCs w:val="24"/>
              </w:rPr>
            </w:pPr>
            <w:r w:rsidRPr="00057397">
              <w:rPr>
                <w:rFonts w:ascii="Arial" w:hAnsi="Arial" w:cs="Arial"/>
                <w:szCs w:val="24"/>
              </w:rPr>
              <w:t>There are no equalities, Ca</w:t>
            </w:r>
            <w:r>
              <w:rPr>
                <w:rFonts w:ascii="Arial" w:hAnsi="Arial" w:cs="Arial"/>
                <w:szCs w:val="24"/>
              </w:rPr>
              <w:t>rbon Clever/Climate Change, Rur</w:t>
            </w:r>
            <w:r w:rsidRPr="00057397">
              <w:rPr>
                <w:rFonts w:ascii="Arial" w:hAnsi="Arial" w:cs="Arial"/>
                <w:szCs w:val="24"/>
              </w:rPr>
              <w:t>al</w:t>
            </w:r>
            <w:r>
              <w:rPr>
                <w:rFonts w:ascii="Arial" w:hAnsi="Arial" w:cs="Arial"/>
                <w:szCs w:val="24"/>
              </w:rPr>
              <w:t>,</w:t>
            </w:r>
            <w:r w:rsidRPr="00057397">
              <w:rPr>
                <w:rFonts w:ascii="Arial" w:hAnsi="Arial" w:cs="Arial"/>
                <w:szCs w:val="24"/>
              </w:rPr>
              <w:t xml:space="preserve"> Risk or Gaelic implications in the report.  </w:t>
            </w:r>
          </w:p>
          <w:p w:rsidR="00FD277D" w:rsidRPr="00057397" w:rsidRDefault="00FD277D" w:rsidP="00FD277D">
            <w:pPr>
              <w:jc w:val="both"/>
              <w:rPr>
                <w:rFonts w:ascii="Arial" w:hAnsi="Arial" w:cs="Arial"/>
                <w:b/>
                <w:szCs w:val="24"/>
              </w:rPr>
            </w:pPr>
          </w:p>
        </w:tc>
      </w:tr>
      <w:tr w:rsidR="00C05BEC" w:rsidRPr="007214D1" w:rsidTr="00E84B4F">
        <w:trPr>
          <w:trHeight w:val="603"/>
        </w:trPr>
        <w:tc>
          <w:tcPr>
            <w:tcW w:w="817" w:type="dxa"/>
          </w:tcPr>
          <w:p w:rsidR="00C05BEC" w:rsidRPr="002A5EA8" w:rsidRDefault="006632C5" w:rsidP="005677A6">
            <w:pPr>
              <w:rPr>
                <w:rFonts w:ascii="Arial" w:hAnsi="Arial" w:cs="Arial"/>
                <w:szCs w:val="24"/>
              </w:rPr>
            </w:pPr>
            <w:r>
              <w:rPr>
                <w:rFonts w:ascii="Arial" w:hAnsi="Arial" w:cs="Arial"/>
                <w:szCs w:val="24"/>
              </w:rPr>
              <w:t>6</w:t>
            </w:r>
            <w:r w:rsidR="00C05BEC" w:rsidRPr="002A5EA8">
              <w:rPr>
                <w:rFonts w:ascii="Arial" w:hAnsi="Arial" w:cs="Arial"/>
                <w:szCs w:val="24"/>
              </w:rPr>
              <w:t>.2</w:t>
            </w:r>
          </w:p>
        </w:tc>
        <w:tc>
          <w:tcPr>
            <w:tcW w:w="9532" w:type="dxa"/>
          </w:tcPr>
          <w:p w:rsidR="001A4CF7" w:rsidRPr="00DF48CA" w:rsidRDefault="00C05BEC" w:rsidP="008563C9">
            <w:pPr>
              <w:jc w:val="both"/>
              <w:rPr>
                <w:rFonts w:ascii="Arial" w:hAnsi="Arial" w:cs="Arial"/>
                <w:szCs w:val="24"/>
              </w:rPr>
            </w:pPr>
            <w:r w:rsidRPr="00DF48CA">
              <w:rPr>
                <w:rFonts w:ascii="Arial" w:hAnsi="Arial" w:cs="Arial"/>
                <w:b/>
                <w:szCs w:val="24"/>
              </w:rPr>
              <w:t>Legal and Financial Implications</w:t>
            </w:r>
            <w:r w:rsidRPr="00DF48CA">
              <w:rPr>
                <w:rFonts w:ascii="Arial" w:hAnsi="Arial" w:cs="Arial"/>
                <w:szCs w:val="24"/>
              </w:rPr>
              <w:t xml:space="preserve"> – the application of funds will fall within the competency guidelines set out both in statute and in common law in </w:t>
            </w:r>
            <w:r w:rsidR="00DF48CA" w:rsidRPr="00DF48CA">
              <w:rPr>
                <w:rFonts w:ascii="Arial" w:hAnsi="Arial" w:cs="Arial"/>
                <w:szCs w:val="24"/>
              </w:rPr>
              <w:t xml:space="preserve">relation to Common Good Funds. </w:t>
            </w:r>
            <w:r w:rsidRPr="00DF48CA">
              <w:rPr>
                <w:rFonts w:ascii="Arial" w:hAnsi="Arial" w:cs="Arial"/>
                <w:szCs w:val="24"/>
              </w:rPr>
              <w:t xml:space="preserve">Additionally, through the governance being implied by the Finance Service, funds will remain compliant with all financial regulations. </w:t>
            </w:r>
            <w:r w:rsidR="00DF48CA" w:rsidRPr="00DF48CA">
              <w:rPr>
                <w:rFonts w:ascii="Arial" w:hAnsi="Arial" w:cs="Arial"/>
                <w:szCs w:val="24"/>
              </w:rPr>
              <w:t xml:space="preserve"> </w:t>
            </w:r>
          </w:p>
          <w:p w:rsidR="00C05BEC" w:rsidRPr="00AE0B0A" w:rsidRDefault="00C05BEC" w:rsidP="001A4CF7">
            <w:pPr>
              <w:jc w:val="both"/>
              <w:rPr>
                <w:rFonts w:ascii="Arial" w:hAnsi="Arial" w:cs="Arial"/>
                <w:szCs w:val="24"/>
                <w:u w:val="single"/>
              </w:rPr>
            </w:pPr>
          </w:p>
        </w:tc>
      </w:tr>
      <w:tr w:rsidR="006632C5" w:rsidRPr="007214D1" w:rsidTr="00E84B4F">
        <w:trPr>
          <w:trHeight w:val="603"/>
        </w:trPr>
        <w:tc>
          <w:tcPr>
            <w:tcW w:w="817" w:type="dxa"/>
          </w:tcPr>
          <w:p w:rsidR="006632C5" w:rsidRDefault="006632C5" w:rsidP="005677A6">
            <w:pPr>
              <w:rPr>
                <w:rFonts w:ascii="Arial" w:hAnsi="Arial" w:cs="Arial"/>
                <w:szCs w:val="24"/>
              </w:rPr>
            </w:pPr>
            <w:r>
              <w:rPr>
                <w:rFonts w:ascii="Arial" w:hAnsi="Arial" w:cs="Arial"/>
                <w:szCs w:val="24"/>
              </w:rPr>
              <w:t>6.3</w:t>
            </w:r>
          </w:p>
        </w:tc>
        <w:tc>
          <w:tcPr>
            <w:tcW w:w="9532" w:type="dxa"/>
          </w:tcPr>
          <w:p w:rsidR="006632C5" w:rsidRPr="00FD277D" w:rsidRDefault="006632C5" w:rsidP="00EA3771">
            <w:pPr>
              <w:jc w:val="both"/>
              <w:rPr>
                <w:rFonts w:ascii="Arial" w:hAnsi="Arial" w:cs="Arial"/>
                <w:szCs w:val="24"/>
              </w:rPr>
            </w:pPr>
            <w:r>
              <w:rPr>
                <w:rFonts w:ascii="Arial" w:hAnsi="Arial" w:cs="Arial"/>
                <w:b/>
                <w:szCs w:val="24"/>
              </w:rPr>
              <w:t xml:space="preserve">Community (Equality, Poverty and Rural) - </w:t>
            </w:r>
            <w:r>
              <w:rPr>
                <w:rFonts w:ascii="Arial" w:hAnsi="Arial" w:cs="Arial"/>
                <w:szCs w:val="24"/>
              </w:rPr>
              <w:t xml:space="preserve">It is proposed that a budget be available to allow small grants to be made to community groups.  Any future major project for the protection or improvement of assets would seek to improve equality of access. </w:t>
            </w:r>
          </w:p>
          <w:p w:rsidR="006632C5" w:rsidRPr="00D57AC4" w:rsidRDefault="006632C5" w:rsidP="00AE0B0A">
            <w:pPr>
              <w:jc w:val="both"/>
              <w:rPr>
                <w:rFonts w:ascii="Arial" w:hAnsi="Arial" w:cs="Arial"/>
                <w:b/>
                <w:szCs w:val="24"/>
              </w:rPr>
            </w:pPr>
          </w:p>
        </w:tc>
      </w:tr>
    </w:tbl>
    <w:p w:rsidR="0039450A" w:rsidRDefault="0039450A" w:rsidP="00416BFF">
      <w:pPr>
        <w:rPr>
          <w:rFonts w:ascii="Arial" w:hAnsi="Arial" w:cs="Arial"/>
          <w:szCs w:val="24"/>
        </w:rPr>
      </w:pPr>
    </w:p>
    <w:p w:rsidR="00230238" w:rsidRPr="00230238" w:rsidRDefault="00452273" w:rsidP="00D74554">
      <w:pPr>
        <w:keepNext/>
        <w:ind w:left="1440" w:hanging="1440"/>
        <w:outlineLvl w:val="2"/>
        <w:rPr>
          <w:rFonts w:ascii="Arial" w:hAnsi="Arial" w:cs="Arial"/>
          <w:szCs w:val="24"/>
        </w:rPr>
      </w:pPr>
      <w:r>
        <w:rPr>
          <w:rFonts w:ascii="Arial" w:hAnsi="Arial" w:cs="Arial"/>
          <w:szCs w:val="24"/>
        </w:rPr>
        <w:t xml:space="preserve">Designation: </w:t>
      </w:r>
      <w:r w:rsidR="00906E6D">
        <w:rPr>
          <w:rFonts w:ascii="Arial" w:hAnsi="Arial" w:cs="Arial"/>
          <w:szCs w:val="24"/>
        </w:rPr>
        <w:tab/>
      </w:r>
      <w:r w:rsidR="00230238" w:rsidRPr="00230238">
        <w:rPr>
          <w:rFonts w:ascii="Arial" w:hAnsi="Arial" w:cs="Arial"/>
          <w:szCs w:val="24"/>
        </w:rPr>
        <w:t xml:space="preserve">Derek Yule, Depute Chief Executive and Director of Corporate </w:t>
      </w:r>
      <w:r w:rsidR="00D74554">
        <w:rPr>
          <w:rFonts w:ascii="Arial" w:hAnsi="Arial" w:cs="Arial"/>
          <w:szCs w:val="24"/>
        </w:rPr>
        <w:t xml:space="preserve">    </w:t>
      </w:r>
      <w:r w:rsidR="00230238" w:rsidRPr="00230238">
        <w:rPr>
          <w:rFonts w:ascii="Arial" w:hAnsi="Arial" w:cs="Arial"/>
          <w:szCs w:val="24"/>
        </w:rPr>
        <w:t>Resources</w:t>
      </w:r>
    </w:p>
    <w:p w:rsidR="00230238" w:rsidRPr="00230238" w:rsidRDefault="00716EB8" w:rsidP="00D74554">
      <w:pPr>
        <w:keepNext/>
        <w:ind w:left="720" w:firstLine="720"/>
        <w:outlineLvl w:val="2"/>
        <w:rPr>
          <w:rFonts w:ascii="Arial" w:hAnsi="Arial" w:cs="Arial"/>
          <w:szCs w:val="24"/>
        </w:rPr>
      </w:pPr>
      <w:r>
        <w:rPr>
          <w:rFonts w:ascii="Arial" w:hAnsi="Arial" w:cs="Arial"/>
          <w:szCs w:val="24"/>
        </w:rPr>
        <w:t xml:space="preserve">Alison Clark, Acting Head of Policy </w:t>
      </w:r>
    </w:p>
    <w:p w:rsidR="00452273" w:rsidRDefault="00452273" w:rsidP="00230238">
      <w:pPr>
        <w:ind w:left="2160" w:hanging="2160"/>
        <w:rPr>
          <w:rFonts w:ascii="Arial" w:hAnsi="Arial" w:cs="Arial"/>
          <w:szCs w:val="24"/>
        </w:rPr>
      </w:pPr>
    </w:p>
    <w:p w:rsidR="00E03348" w:rsidRDefault="00E03348" w:rsidP="00452273">
      <w:pPr>
        <w:rPr>
          <w:rFonts w:ascii="Arial" w:hAnsi="Arial" w:cs="Arial"/>
          <w:szCs w:val="24"/>
        </w:rPr>
      </w:pPr>
      <w:r>
        <w:rPr>
          <w:rFonts w:ascii="Arial" w:hAnsi="Arial" w:cs="Arial"/>
          <w:szCs w:val="24"/>
        </w:rPr>
        <w:t xml:space="preserve">Date: </w:t>
      </w:r>
      <w:r w:rsidR="00716EB8">
        <w:rPr>
          <w:rFonts w:ascii="Arial" w:hAnsi="Arial" w:cs="Arial"/>
          <w:szCs w:val="24"/>
        </w:rPr>
        <w:tab/>
      </w:r>
      <w:r w:rsidR="00716EB8">
        <w:rPr>
          <w:rFonts w:ascii="Arial" w:hAnsi="Arial" w:cs="Arial"/>
          <w:szCs w:val="24"/>
        </w:rPr>
        <w:tab/>
      </w:r>
      <w:r w:rsidR="00511837">
        <w:rPr>
          <w:rFonts w:ascii="Arial" w:hAnsi="Arial" w:cs="Arial"/>
          <w:szCs w:val="24"/>
        </w:rPr>
        <w:t>18</w:t>
      </w:r>
      <w:r w:rsidR="006632C5">
        <w:rPr>
          <w:rFonts w:ascii="Arial" w:hAnsi="Arial" w:cs="Arial"/>
          <w:szCs w:val="24"/>
        </w:rPr>
        <w:t xml:space="preserve"> </w:t>
      </w:r>
      <w:r w:rsidR="00D74554">
        <w:rPr>
          <w:rFonts w:ascii="Arial" w:hAnsi="Arial" w:cs="Arial"/>
          <w:szCs w:val="24"/>
        </w:rPr>
        <w:t>January 201</w:t>
      </w:r>
      <w:r w:rsidR="00716EB8">
        <w:rPr>
          <w:rFonts w:ascii="Arial" w:hAnsi="Arial" w:cs="Arial"/>
          <w:szCs w:val="24"/>
        </w:rPr>
        <w:t>9</w:t>
      </w:r>
    </w:p>
    <w:p w:rsidR="00D74554" w:rsidRDefault="00452273" w:rsidP="00466CF8">
      <w:pPr>
        <w:rPr>
          <w:rFonts w:ascii="Arial" w:hAnsi="Arial" w:cs="Arial"/>
          <w:szCs w:val="24"/>
        </w:rPr>
      </w:pPr>
      <w:r>
        <w:rPr>
          <w:rFonts w:ascii="Arial" w:hAnsi="Arial" w:cs="Arial"/>
          <w:szCs w:val="24"/>
        </w:rPr>
        <w:t>Author</w:t>
      </w:r>
      <w:r w:rsidR="00D74554">
        <w:rPr>
          <w:rFonts w:ascii="Arial" w:hAnsi="Arial" w:cs="Arial"/>
          <w:szCs w:val="24"/>
        </w:rPr>
        <w:t>s</w:t>
      </w:r>
      <w:r>
        <w:rPr>
          <w:rFonts w:ascii="Arial" w:hAnsi="Arial" w:cs="Arial"/>
          <w:szCs w:val="24"/>
        </w:rPr>
        <w:t xml:space="preserve">: </w:t>
      </w:r>
      <w:r w:rsidR="00906E6D">
        <w:rPr>
          <w:rFonts w:ascii="Arial" w:hAnsi="Arial" w:cs="Arial"/>
          <w:szCs w:val="24"/>
        </w:rPr>
        <w:tab/>
      </w:r>
      <w:r w:rsidR="00FD277D">
        <w:rPr>
          <w:rFonts w:ascii="Arial" w:hAnsi="Arial" w:cs="Arial"/>
          <w:szCs w:val="24"/>
        </w:rPr>
        <w:t xml:space="preserve">Diane Agnew, </w:t>
      </w:r>
      <w:r>
        <w:rPr>
          <w:rFonts w:ascii="Arial" w:hAnsi="Arial" w:cs="Arial"/>
          <w:szCs w:val="24"/>
        </w:rPr>
        <w:t>Ward Manager</w:t>
      </w:r>
    </w:p>
    <w:p w:rsidR="00492D5E" w:rsidRDefault="00D74554" w:rsidP="00466CF8">
      <w:pPr>
        <w:rPr>
          <w:rFonts w:ascii="Arial" w:hAnsi="Arial" w:cs="Arial"/>
          <w:szCs w:val="24"/>
        </w:rPr>
      </w:pPr>
      <w:r>
        <w:rPr>
          <w:rFonts w:ascii="Arial" w:hAnsi="Arial" w:cs="Arial"/>
          <w:szCs w:val="24"/>
        </w:rPr>
        <w:tab/>
      </w:r>
      <w:r>
        <w:rPr>
          <w:rFonts w:ascii="Arial" w:hAnsi="Arial" w:cs="Arial"/>
          <w:szCs w:val="24"/>
        </w:rPr>
        <w:tab/>
        <w:t>Steven Wright, Trainee Accountant</w:t>
      </w:r>
      <w:r w:rsidR="00492D5E">
        <w:rPr>
          <w:rFonts w:ascii="Arial" w:hAnsi="Arial" w:cs="Arial"/>
          <w:szCs w:val="24"/>
        </w:rPr>
        <w:tab/>
      </w:r>
      <w:r w:rsidR="00492D5E">
        <w:rPr>
          <w:rFonts w:ascii="Arial" w:hAnsi="Arial" w:cs="Arial"/>
          <w:szCs w:val="24"/>
        </w:rPr>
        <w:tab/>
      </w:r>
      <w:r w:rsidR="00492D5E">
        <w:rPr>
          <w:rFonts w:ascii="Arial" w:hAnsi="Arial" w:cs="Arial"/>
          <w:szCs w:val="24"/>
        </w:rPr>
        <w:tab/>
      </w:r>
    </w:p>
    <w:p w:rsidR="00492D5E" w:rsidRDefault="00492D5E" w:rsidP="00466CF8">
      <w:pPr>
        <w:rPr>
          <w:rFonts w:ascii="Arial" w:hAnsi="Arial" w:cs="Arial"/>
          <w:szCs w:val="24"/>
        </w:rPr>
      </w:pPr>
    </w:p>
    <w:p w:rsidR="00590A1C" w:rsidRDefault="00057397" w:rsidP="005F473E">
      <w:pPr>
        <w:rPr>
          <w:rFonts w:ascii="Arial" w:hAnsi="Arial" w:cs="Arial"/>
          <w:b/>
          <w:bCs/>
          <w:szCs w:val="24"/>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D57AC4">
        <w:rPr>
          <w:rFonts w:ascii="Arial" w:hAnsi="Arial" w:cs="Arial"/>
          <w:b/>
          <w:bCs/>
          <w:szCs w:val="24"/>
        </w:rPr>
        <w:tab/>
      </w:r>
    </w:p>
    <w:p w:rsidR="00FD277D" w:rsidRDefault="00FD277D" w:rsidP="005F473E">
      <w:pPr>
        <w:rPr>
          <w:rFonts w:ascii="Arial" w:hAnsi="Arial" w:cs="Arial"/>
          <w:b/>
          <w:bCs/>
          <w:szCs w:val="24"/>
        </w:rPr>
      </w:pPr>
    </w:p>
    <w:p w:rsidR="00FD277D" w:rsidRDefault="00FD277D" w:rsidP="005F473E">
      <w:pPr>
        <w:rPr>
          <w:rFonts w:ascii="Arial" w:hAnsi="Arial" w:cs="Arial"/>
          <w:b/>
          <w:bCs/>
          <w:szCs w:val="24"/>
        </w:rPr>
      </w:pPr>
    </w:p>
    <w:p w:rsidR="00FD277D" w:rsidRDefault="00FD277D" w:rsidP="005F473E">
      <w:pPr>
        <w:rPr>
          <w:rFonts w:ascii="Arial" w:hAnsi="Arial" w:cs="Arial"/>
          <w:b/>
          <w:bCs/>
          <w:szCs w:val="24"/>
        </w:rPr>
      </w:pPr>
    </w:p>
    <w:p w:rsidR="00FD277D" w:rsidRDefault="00FD277D">
      <w:pPr>
        <w:rPr>
          <w:rFonts w:ascii="Arial" w:hAnsi="Arial" w:cs="Arial"/>
          <w:b/>
          <w:szCs w:val="24"/>
        </w:rPr>
      </w:pPr>
      <w:r>
        <w:rPr>
          <w:rFonts w:ascii="Arial" w:hAnsi="Arial" w:cs="Arial"/>
          <w:b/>
          <w:szCs w:val="24"/>
        </w:rPr>
        <w:br w:type="page"/>
      </w:r>
    </w:p>
    <w:p w:rsidR="00FD277D" w:rsidRDefault="00FD277D" w:rsidP="00FD277D">
      <w:pPr>
        <w:jc w:val="right"/>
        <w:rPr>
          <w:rFonts w:ascii="Arial" w:hAnsi="Arial" w:cs="Arial"/>
          <w:b/>
          <w:szCs w:val="24"/>
        </w:rPr>
      </w:pPr>
    </w:p>
    <w:p w:rsidR="00FD277D" w:rsidRDefault="00B84435" w:rsidP="00FD277D">
      <w:pPr>
        <w:jc w:val="right"/>
        <w:rPr>
          <w:rFonts w:ascii="Arial" w:hAnsi="Arial" w:cs="Arial"/>
          <w:szCs w:val="24"/>
        </w:rPr>
      </w:pPr>
      <w:r w:rsidRPr="00AC55B3">
        <w:rPr>
          <w:rFonts w:ascii="Arial" w:hAnsi="Arial" w:cs="Arial"/>
          <w:b/>
          <w:szCs w:val="24"/>
        </w:rPr>
        <w:t>Appendix 1</w:t>
      </w:r>
      <w:r w:rsidRPr="00AC55B3">
        <w:rPr>
          <w:rFonts w:ascii="Arial" w:hAnsi="Arial" w:cs="Arial"/>
          <w:szCs w:val="24"/>
        </w:rPr>
        <w:t xml:space="preserve"> </w:t>
      </w:r>
    </w:p>
    <w:p w:rsidR="00AC55B3" w:rsidRDefault="00AC55B3" w:rsidP="00FD277D">
      <w:pPr>
        <w:jc w:val="right"/>
        <w:rPr>
          <w:rFonts w:ascii="Arial" w:hAnsi="Arial" w:cs="Arial"/>
          <w:szCs w:val="24"/>
        </w:rPr>
      </w:pPr>
    </w:p>
    <w:p w:rsidR="00AC55B3" w:rsidRPr="00AC55B3" w:rsidRDefault="00AC55B3" w:rsidP="00FD277D">
      <w:pPr>
        <w:jc w:val="right"/>
        <w:rPr>
          <w:rFonts w:ascii="Arial" w:hAnsi="Arial" w:cs="Arial"/>
          <w:b/>
          <w:szCs w:val="24"/>
        </w:rPr>
      </w:pPr>
    </w:p>
    <w:tbl>
      <w:tblPr>
        <w:tblW w:w="9948" w:type="dxa"/>
        <w:tblInd w:w="-444" w:type="dxa"/>
        <w:tblLook w:val="04A0" w:firstRow="1" w:lastRow="0" w:firstColumn="1" w:lastColumn="0" w:noHBand="0" w:noVBand="1"/>
      </w:tblPr>
      <w:tblGrid>
        <w:gridCol w:w="4399"/>
        <w:gridCol w:w="1039"/>
        <w:gridCol w:w="282"/>
        <w:gridCol w:w="1244"/>
        <w:gridCol w:w="380"/>
        <w:gridCol w:w="1217"/>
        <w:gridCol w:w="380"/>
        <w:gridCol w:w="1217"/>
      </w:tblGrid>
      <w:tr w:rsidR="006632C5" w:rsidRPr="00AC55B3" w:rsidTr="006632C5">
        <w:trPr>
          <w:trHeight w:val="300"/>
        </w:trPr>
        <w:tc>
          <w:tcPr>
            <w:tcW w:w="6920" w:type="dxa"/>
            <w:gridSpan w:val="4"/>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 xml:space="preserve">Fortrose and </w:t>
            </w:r>
            <w:proofErr w:type="spellStart"/>
            <w:r w:rsidRPr="00AC55B3">
              <w:rPr>
                <w:rFonts w:ascii="Arial" w:hAnsi="Arial" w:cs="Arial"/>
                <w:b/>
                <w:bCs/>
                <w:color w:val="000000"/>
                <w:szCs w:val="24"/>
              </w:rPr>
              <w:t>Rosemarkie</w:t>
            </w:r>
            <w:proofErr w:type="spellEnd"/>
            <w:r w:rsidRPr="00AC55B3">
              <w:rPr>
                <w:rFonts w:ascii="Arial" w:hAnsi="Arial" w:cs="Arial"/>
                <w:b/>
                <w:bCs/>
                <w:color w:val="000000"/>
                <w:szCs w:val="24"/>
              </w:rPr>
              <w:t xml:space="preserve"> Common Good - Quarterly Monitoring</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Period to 03 January 2019</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6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Actual to date</w:t>
            </w:r>
          </w:p>
        </w:tc>
        <w:tc>
          <w:tcPr>
            <w:tcW w:w="282"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p>
        </w:tc>
        <w:tc>
          <w:tcPr>
            <w:tcW w:w="1200"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Budget</w:t>
            </w:r>
          </w:p>
        </w:tc>
        <w:tc>
          <w:tcPr>
            <w:tcW w:w="380"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p>
        </w:tc>
        <w:tc>
          <w:tcPr>
            <w:tcW w:w="1134"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Year End Estimate</w:t>
            </w:r>
          </w:p>
        </w:tc>
        <w:tc>
          <w:tcPr>
            <w:tcW w:w="380"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p>
        </w:tc>
        <w:tc>
          <w:tcPr>
            <w:tcW w:w="1134" w:type="dxa"/>
            <w:tcBorders>
              <w:top w:val="nil"/>
              <w:left w:val="nil"/>
              <w:bottom w:val="nil"/>
              <w:right w:val="nil"/>
            </w:tcBorders>
            <w:shd w:val="clear" w:color="auto" w:fill="auto"/>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Variance</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INCOME</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center"/>
              <w:rPr>
                <w:rFonts w:ascii="Arial" w:hAnsi="Arial" w:cs="Arial"/>
                <w:b/>
                <w:bCs/>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center"/>
              <w:rPr>
                <w:rFonts w:ascii="Arial" w:hAnsi="Arial" w:cs="Arial"/>
                <w:b/>
                <w:bCs/>
                <w:color w:val="000000"/>
                <w:szCs w:val="24"/>
              </w:rPr>
            </w:pPr>
            <w:r w:rsidRPr="00AC55B3">
              <w:rPr>
                <w:rFonts w:ascii="Arial" w:hAnsi="Arial" w:cs="Arial"/>
                <w:b/>
                <w:bCs/>
                <w:color w:val="000000"/>
                <w:szCs w:val="24"/>
              </w:rPr>
              <w:t>£</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Rents</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12,223</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13,022</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13,022</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Interest and investment income</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750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750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Contributions – Project Costs</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50,000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TOTAL INCOME</w:t>
            </w:r>
          </w:p>
        </w:tc>
        <w:tc>
          <w:tcPr>
            <w:tcW w:w="1039"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12,223</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13,772</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63,772</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50,000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EXPENDITURE</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Staff Costs - CGF Officer</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639</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Grants and Donations</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(4,000)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Property costs</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964</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1,500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1,500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r w:rsidRPr="00AC55B3">
              <w:rPr>
                <w:rFonts w:ascii="Arial" w:hAnsi="Arial" w:cs="Arial"/>
                <w:color w:val="000000"/>
                <w:szCs w:val="24"/>
              </w:rPr>
              <w:t>Central support</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500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roofErr w:type="spellStart"/>
            <w:r w:rsidRPr="00AC55B3">
              <w:rPr>
                <w:rFonts w:ascii="Arial" w:hAnsi="Arial" w:cs="Arial"/>
                <w:color w:val="000000"/>
                <w:szCs w:val="24"/>
              </w:rPr>
              <w:t>Rosemarkie</w:t>
            </w:r>
            <w:proofErr w:type="spellEnd"/>
            <w:r w:rsidRPr="00AC55B3">
              <w:rPr>
                <w:rFonts w:ascii="Arial" w:hAnsi="Arial" w:cs="Arial"/>
                <w:color w:val="000000"/>
                <w:szCs w:val="24"/>
              </w:rPr>
              <w:t xml:space="preserve"> Coastal Protection Works</w:t>
            </w:r>
          </w:p>
        </w:tc>
        <w:tc>
          <w:tcPr>
            <w:tcW w:w="1039"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137,000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265362" w:rsidP="006632C5">
            <w:pPr>
              <w:jc w:val="right"/>
              <w:rPr>
                <w:rFonts w:ascii="Arial" w:hAnsi="Arial" w:cs="Arial"/>
                <w:color w:val="000000"/>
                <w:szCs w:val="24"/>
              </w:rPr>
            </w:pPr>
            <w:r w:rsidRPr="00AC55B3">
              <w:rPr>
                <w:rFonts w:ascii="Arial" w:hAnsi="Arial" w:cs="Arial"/>
                <w:color w:val="000000"/>
                <w:szCs w:val="24"/>
              </w:rPr>
              <w:t>89</w:t>
            </w:r>
            <w:r w:rsidR="006632C5" w:rsidRPr="00AC55B3">
              <w:rPr>
                <w:rFonts w:ascii="Arial" w:hAnsi="Arial" w:cs="Arial"/>
                <w:color w:val="000000"/>
                <w:szCs w:val="24"/>
              </w:rPr>
              <w:t>,270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(49,730)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 xml:space="preserve">TOTAL EXPENDITURE </w:t>
            </w:r>
          </w:p>
        </w:tc>
        <w:tc>
          <w:tcPr>
            <w:tcW w:w="1039"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1,603</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single" w:sz="4" w:space="0" w:color="auto"/>
              <w:left w:val="nil"/>
              <w:bottom w:val="nil"/>
              <w:right w:val="nil"/>
            </w:tcBorders>
            <w:shd w:val="clear" w:color="auto" w:fill="auto"/>
            <w:noWrap/>
            <w:vAlign w:val="bottom"/>
            <w:hideMark/>
          </w:tcPr>
          <w:p w:rsidR="006632C5" w:rsidRPr="00AC55B3" w:rsidRDefault="006632C5" w:rsidP="006632C5">
            <w:pPr>
              <w:jc w:val="right"/>
              <w:rPr>
                <w:rFonts w:ascii="Arial" w:hAnsi="Arial" w:cs="Arial"/>
                <w:color w:val="000000"/>
                <w:szCs w:val="24"/>
              </w:rPr>
            </w:pPr>
            <w:r w:rsidRPr="00AC55B3">
              <w:rPr>
                <w:rFonts w:ascii="Arial" w:hAnsi="Arial" w:cs="Arial"/>
                <w:color w:val="000000"/>
                <w:szCs w:val="24"/>
              </w:rPr>
              <w:t>145,000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single" w:sz="4" w:space="0" w:color="auto"/>
              <w:left w:val="nil"/>
              <w:bottom w:val="nil"/>
              <w:right w:val="nil"/>
            </w:tcBorders>
            <w:shd w:val="clear" w:color="auto" w:fill="auto"/>
            <w:noWrap/>
            <w:vAlign w:val="bottom"/>
            <w:hideMark/>
          </w:tcPr>
          <w:p w:rsidR="006632C5" w:rsidRPr="00AC55B3" w:rsidRDefault="00265362" w:rsidP="006632C5">
            <w:pPr>
              <w:jc w:val="right"/>
              <w:rPr>
                <w:rFonts w:ascii="Arial" w:hAnsi="Arial" w:cs="Arial"/>
                <w:color w:val="000000"/>
                <w:szCs w:val="24"/>
              </w:rPr>
            </w:pPr>
            <w:r w:rsidRPr="00AC55B3">
              <w:rPr>
                <w:rFonts w:ascii="Arial" w:hAnsi="Arial" w:cs="Arial"/>
                <w:color w:val="000000"/>
                <w:szCs w:val="24"/>
              </w:rPr>
              <w:t>93</w:t>
            </w:r>
            <w:r w:rsidR="006632C5" w:rsidRPr="00AC55B3">
              <w:rPr>
                <w:rFonts w:ascii="Arial" w:hAnsi="Arial" w:cs="Arial"/>
                <w:color w:val="000000"/>
                <w:szCs w:val="24"/>
              </w:rPr>
              <w:t>,270</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single" w:sz="4" w:space="0" w:color="auto"/>
              <w:left w:val="nil"/>
              <w:bottom w:val="nil"/>
              <w:right w:val="nil"/>
            </w:tcBorders>
            <w:shd w:val="clear" w:color="auto" w:fill="auto"/>
            <w:noWrap/>
            <w:vAlign w:val="bottom"/>
            <w:hideMark/>
          </w:tcPr>
          <w:p w:rsidR="006632C5" w:rsidRPr="00AC55B3" w:rsidRDefault="00265362" w:rsidP="006632C5">
            <w:pPr>
              <w:jc w:val="right"/>
              <w:rPr>
                <w:rFonts w:ascii="Arial" w:hAnsi="Arial" w:cs="Arial"/>
                <w:color w:val="000000"/>
                <w:szCs w:val="24"/>
              </w:rPr>
            </w:pPr>
            <w:r w:rsidRPr="00AC55B3">
              <w:rPr>
                <w:rFonts w:ascii="Arial" w:hAnsi="Arial" w:cs="Arial"/>
                <w:color w:val="000000"/>
                <w:szCs w:val="24"/>
              </w:rPr>
              <w:t>(51</w:t>
            </w:r>
            <w:r w:rsidR="006632C5" w:rsidRPr="00AC55B3">
              <w:rPr>
                <w:rFonts w:ascii="Arial" w:hAnsi="Arial" w:cs="Arial"/>
                <w:color w:val="000000"/>
                <w:szCs w:val="24"/>
              </w:rPr>
              <w:t>,730)</w:t>
            </w: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00"/>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03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20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c>
          <w:tcPr>
            <w:tcW w:w="1134"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color w:val="000000"/>
                <w:szCs w:val="24"/>
              </w:rPr>
            </w:pPr>
          </w:p>
        </w:tc>
      </w:tr>
      <w:tr w:rsidR="006632C5" w:rsidRPr="00AC55B3" w:rsidTr="006632C5">
        <w:trPr>
          <w:trHeight w:val="315"/>
        </w:trPr>
        <w:tc>
          <w:tcPr>
            <w:tcW w:w="4399"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r w:rsidRPr="00AC55B3">
              <w:rPr>
                <w:rFonts w:ascii="Arial" w:hAnsi="Arial" w:cs="Arial"/>
                <w:b/>
                <w:bCs/>
                <w:color w:val="000000"/>
                <w:szCs w:val="24"/>
              </w:rPr>
              <w:t>Income less Expenditure</w:t>
            </w:r>
          </w:p>
        </w:tc>
        <w:tc>
          <w:tcPr>
            <w:tcW w:w="1039" w:type="dxa"/>
            <w:tcBorders>
              <w:top w:val="single" w:sz="4" w:space="0" w:color="auto"/>
              <w:left w:val="nil"/>
              <w:bottom w:val="double" w:sz="6" w:space="0" w:color="auto"/>
              <w:right w:val="nil"/>
            </w:tcBorders>
            <w:shd w:val="clear" w:color="auto" w:fill="auto"/>
            <w:noWrap/>
            <w:vAlign w:val="bottom"/>
            <w:hideMark/>
          </w:tcPr>
          <w:p w:rsidR="006632C5" w:rsidRPr="00AC55B3" w:rsidRDefault="006632C5" w:rsidP="006632C5">
            <w:pPr>
              <w:jc w:val="right"/>
              <w:rPr>
                <w:rFonts w:ascii="Arial" w:hAnsi="Arial" w:cs="Arial"/>
                <w:b/>
                <w:bCs/>
                <w:color w:val="000000"/>
                <w:szCs w:val="24"/>
              </w:rPr>
            </w:pPr>
            <w:r w:rsidRPr="00AC55B3">
              <w:rPr>
                <w:rFonts w:ascii="Arial" w:hAnsi="Arial" w:cs="Arial"/>
                <w:b/>
                <w:bCs/>
                <w:color w:val="000000"/>
                <w:szCs w:val="24"/>
              </w:rPr>
              <w:t>10,620</w:t>
            </w:r>
          </w:p>
        </w:tc>
        <w:tc>
          <w:tcPr>
            <w:tcW w:w="282"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p>
        </w:tc>
        <w:tc>
          <w:tcPr>
            <w:tcW w:w="1200" w:type="dxa"/>
            <w:tcBorders>
              <w:top w:val="single" w:sz="4" w:space="0" w:color="auto"/>
              <w:left w:val="nil"/>
              <w:bottom w:val="double" w:sz="6" w:space="0" w:color="auto"/>
              <w:right w:val="nil"/>
            </w:tcBorders>
            <w:shd w:val="clear" w:color="auto" w:fill="auto"/>
            <w:noWrap/>
            <w:vAlign w:val="bottom"/>
            <w:hideMark/>
          </w:tcPr>
          <w:p w:rsidR="006632C5" w:rsidRPr="00AC55B3" w:rsidRDefault="006632C5" w:rsidP="006632C5">
            <w:pPr>
              <w:jc w:val="right"/>
              <w:rPr>
                <w:rFonts w:ascii="Arial" w:hAnsi="Arial" w:cs="Arial"/>
                <w:b/>
                <w:bCs/>
                <w:color w:val="000000"/>
                <w:szCs w:val="24"/>
              </w:rPr>
            </w:pPr>
            <w:r w:rsidRPr="00AC55B3">
              <w:rPr>
                <w:rFonts w:ascii="Arial" w:hAnsi="Arial" w:cs="Arial"/>
                <w:b/>
                <w:bCs/>
                <w:color w:val="000000"/>
                <w:szCs w:val="24"/>
              </w:rPr>
              <w:t>(131,228)</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p>
        </w:tc>
        <w:tc>
          <w:tcPr>
            <w:tcW w:w="1134" w:type="dxa"/>
            <w:tcBorders>
              <w:top w:val="single" w:sz="4" w:space="0" w:color="auto"/>
              <w:left w:val="nil"/>
              <w:bottom w:val="double" w:sz="6" w:space="0" w:color="auto"/>
              <w:right w:val="nil"/>
            </w:tcBorders>
            <w:shd w:val="clear" w:color="auto" w:fill="auto"/>
            <w:noWrap/>
            <w:vAlign w:val="bottom"/>
            <w:hideMark/>
          </w:tcPr>
          <w:p w:rsidR="006632C5" w:rsidRPr="00AC55B3" w:rsidRDefault="00DF48CA" w:rsidP="006632C5">
            <w:pPr>
              <w:jc w:val="right"/>
              <w:rPr>
                <w:rFonts w:ascii="Arial" w:hAnsi="Arial" w:cs="Arial"/>
                <w:b/>
                <w:bCs/>
                <w:color w:val="000000"/>
                <w:szCs w:val="24"/>
              </w:rPr>
            </w:pPr>
            <w:r w:rsidRPr="00AC55B3">
              <w:rPr>
                <w:rFonts w:ascii="Arial" w:hAnsi="Arial" w:cs="Arial"/>
                <w:b/>
                <w:bCs/>
                <w:color w:val="000000"/>
                <w:szCs w:val="24"/>
              </w:rPr>
              <w:t>(29</w:t>
            </w:r>
            <w:r w:rsidR="006632C5" w:rsidRPr="00AC55B3">
              <w:rPr>
                <w:rFonts w:ascii="Arial" w:hAnsi="Arial" w:cs="Arial"/>
                <w:b/>
                <w:bCs/>
                <w:color w:val="000000"/>
                <w:szCs w:val="24"/>
              </w:rPr>
              <w:t>,498)</w:t>
            </w:r>
          </w:p>
        </w:tc>
        <w:tc>
          <w:tcPr>
            <w:tcW w:w="380" w:type="dxa"/>
            <w:tcBorders>
              <w:top w:val="nil"/>
              <w:left w:val="nil"/>
              <w:bottom w:val="nil"/>
              <w:right w:val="nil"/>
            </w:tcBorders>
            <w:shd w:val="clear" w:color="auto" w:fill="auto"/>
            <w:noWrap/>
            <w:vAlign w:val="bottom"/>
            <w:hideMark/>
          </w:tcPr>
          <w:p w:rsidR="006632C5" w:rsidRPr="00AC55B3" w:rsidRDefault="006632C5" w:rsidP="006632C5">
            <w:pPr>
              <w:rPr>
                <w:rFonts w:ascii="Arial" w:hAnsi="Arial" w:cs="Arial"/>
                <w:b/>
                <w:bCs/>
                <w:color w:val="000000"/>
                <w:szCs w:val="24"/>
              </w:rPr>
            </w:pPr>
          </w:p>
        </w:tc>
        <w:tc>
          <w:tcPr>
            <w:tcW w:w="1134" w:type="dxa"/>
            <w:tcBorders>
              <w:top w:val="single" w:sz="4" w:space="0" w:color="auto"/>
              <w:left w:val="nil"/>
              <w:bottom w:val="double" w:sz="6" w:space="0" w:color="auto"/>
              <w:right w:val="nil"/>
            </w:tcBorders>
            <w:shd w:val="clear" w:color="auto" w:fill="auto"/>
            <w:noWrap/>
            <w:vAlign w:val="bottom"/>
            <w:hideMark/>
          </w:tcPr>
          <w:p w:rsidR="006632C5" w:rsidRPr="00AC55B3" w:rsidRDefault="006632C5" w:rsidP="006632C5">
            <w:pPr>
              <w:jc w:val="right"/>
              <w:rPr>
                <w:rFonts w:ascii="Arial" w:hAnsi="Arial" w:cs="Arial"/>
                <w:b/>
                <w:bCs/>
                <w:color w:val="000000"/>
                <w:szCs w:val="24"/>
              </w:rPr>
            </w:pPr>
            <w:r w:rsidRPr="00AC55B3">
              <w:rPr>
                <w:rFonts w:ascii="Arial" w:hAnsi="Arial" w:cs="Arial"/>
                <w:b/>
                <w:bCs/>
                <w:color w:val="000000"/>
                <w:szCs w:val="24"/>
              </w:rPr>
              <w:t>103,730</w:t>
            </w:r>
          </w:p>
        </w:tc>
      </w:tr>
    </w:tbl>
    <w:p w:rsidR="00D934BB" w:rsidRPr="00AC55B3" w:rsidRDefault="00D934BB" w:rsidP="006632C5">
      <w:pPr>
        <w:rPr>
          <w:rFonts w:ascii="Arial" w:hAnsi="Arial" w:cs="Arial"/>
          <w:b/>
          <w:bCs/>
          <w:szCs w:val="24"/>
        </w:rPr>
      </w:pPr>
    </w:p>
    <w:p w:rsidR="00D934BB" w:rsidRPr="00AC55B3" w:rsidRDefault="00D934BB" w:rsidP="005F473E">
      <w:pPr>
        <w:rPr>
          <w:rFonts w:ascii="Arial" w:hAnsi="Arial" w:cs="Arial"/>
          <w:b/>
          <w:bCs/>
          <w:szCs w:val="24"/>
        </w:rPr>
      </w:pPr>
    </w:p>
    <w:p w:rsidR="00D934BB" w:rsidRPr="00AC55B3" w:rsidRDefault="00D934BB" w:rsidP="005F473E">
      <w:pPr>
        <w:rPr>
          <w:rFonts w:ascii="Arial" w:hAnsi="Arial" w:cs="Arial"/>
          <w:b/>
          <w:bCs/>
          <w:szCs w:val="24"/>
        </w:rPr>
      </w:pPr>
    </w:p>
    <w:p w:rsidR="00D934BB" w:rsidRPr="00AC55B3"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D934BB" w:rsidRDefault="00D934BB" w:rsidP="005F473E">
      <w:pPr>
        <w:rPr>
          <w:rFonts w:ascii="Arial" w:hAnsi="Arial" w:cs="Arial"/>
          <w:b/>
          <w:bCs/>
          <w:szCs w:val="24"/>
        </w:rPr>
      </w:pPr>
    </w:p>
    <w:p w:rsidR="006A580F" w:rsidRDefault="006A580F" w:rsidP="005F473E">
      <w:pPr>
        <w:rPr>
          <w:rFonts w:ascii="Arial" w:hAnsi="Arial" w:cs="Arial"/>
          <w:b/>
          <w:bCs/>
          <w:szCs w:val="24"/>
        </w:rPr>
        <w:sectPr w:rsidR="006A580F">
          <w:pgSz w:w="11906" w:h="16838"/>
          <w:pgMar w:top="1440" w:right="1440" w:bottom="1440" w:left="1440" w:header="720" w:footer="720" w:gutter="0"/>
          <w:cols w:space="720"/>
        </w:sectPr>
      </w:pPr>
    </w:p>
    <w:p w:rsidR="006B2627" w:rsidRDefault="006B2627" w:rsidP="006B2627">
      <w:pPr>
        <w:jc w:val="right"/>
        <w:rPr>
          <w:rFonts w:ascii="Arial" w:hAnsi="Arial" w:cs="Arial"/>
          <w:b/>
          <w:bCs/>
          <w:szCs w:val="24"/>
        </w:rPr>
      </w:pPr>
      <w:r>
        <w:rPr>
          <w:rFonts w:ascii="Arial" w:hAnsi="Arial" w:cs="Arial"/>
          <w:b/>
          <w:bCs/>
          <w:szCs w:val="24"/>
        </w:rPr>
        <w:lastRenderedPageBreak/>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r>
      <w:r>
        <w:rPr>
          <w:rFonts w:ascii="Arial" w:hAnsi="Arial" w:cs="Arial"/>
          <w:b/>
          <w:bCs/>
          <w:szCs w:val="24"/>
        </w:rPr>
        <w:tab/>
        <w:t>Appendix 2</w:t>
      </w:r>
    </w:p>
    <w:p w:rsidR="006B2627" w:rsidRPr="00D57AC4" w:rsidRDefault="006B2627" w:rsidP="006B2627">
      <w:pPr>
        <w:rPr>
          <w:rFonts w:ascii="Arial" w:hAnsi="Arial" w:cs="Arial"/>
          <w:b/>
          <w:bCs/>
          <w:szCs w:val="24"/>
        </w:rPr>
      </w:pPr>
    </w:p>
    <w:p w:rsidR="006B2627" w:rsidRDefault="006B2627" w:rsidP="006B2627">
      <w:pPr>
        <w:rPr>
          <w:rFonts w:ascii="Arial" w:hAnsi="Arial" w:cs="Arial"/>
          <w:b/>
          <w:bCs/>
          <w:sz w:val="22"/>
          <w:szCs w:val="22"/>
        </w:rPr>
      </w:pPr>
    </w:p>
    <w:tbl>
      <w:tblPr>
        <w:tblW w:w="8540" w:type="dxa"/>
        <w:tblInd w:w="93" w:type="dxa"/>
        <w:tblLook w:val="04A0" w:firstRow="1" w:lastRow="0" w:firstColumn="1" w:lastColumn="0" w:noHBand="0" w:noVBand="1"/>
      </w:tblPr>
      <w:tblGrid>
        <w:gridCol w:w="5040"/>
        <w:gridCol w:w="1440"/>
        <w:gridCol w:w="620"/>
        <w:gridCol w:w="1440"/>
      </w:tblGrid>
      <w:tr w:rsidR="006B2627" w:rsidRPr="00653459" w:rsidTr="00D36A3E">
        <w:trPr>
          <w:trHeight w:val="315"/>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b/>
                <w:bCs/>
                <w:color w:val="000000"/>
                <w:szCs w:val="24"/>
              </w:rPr>
            </w:pPr>
            <w:r>
              <w:rPr>
                <w:rFonts w:ascii="Arial" w:hAnsi="Arial" w:cs="Arial"/>
                <w:b/>
                <w:bCs/>
                <w:color w:val="000000"/>
                <w:szCs w:val="24"/>
              </w:rPr>
              <w:t xml:space="preserve">FORTROSE AND ROSEMARKIE </w:t>
            </w:r>
            <w:r w:rsidRPr="00653459">
              <w:rPr>
                <w:rFonts w:ascii="Arial" w:hAnsi="Arial" w:cs="Arial"/>
                <w:b/>
                <w:bCs/>
                <w:color w:val="000000"/>
                <w:szCs w:val="24"/>
              </w:rPr>
              <w:t xml:space="preserve"> COMMON GOOD FUND</w:t>
            </w: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r>
      <w:tr w:rsidR="006B2627" w:rsidRPr="00653459" w:rsidTr="00D36A3E">
        <w:trPr>
          <w:trHeight w:val="315"/>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b/>
                <w:bCs/>
                <w:color w:val="000000"/>
                <w:szCs w:val="24"/>
              </w:rPr>
            </w:pPr>
            <w:r w:rsidRPr="00653459">
              <w:rPr>
                <w:rFonts w:ascii="Arial" w:hAnsi="Arial" w:cs="Arial"/>
                <w:b/>
                <w:bCs/>
                <w:color w:val="000000"/>
                <w:szCs w:val="24"/>
              </w:rPr>
              <w:t>PROPOSED BUDGET 2019/20</w:t>
            </w: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r>
      <w:tr w:rsidR="006B2627" w:rsidRPr="00653459" w:rsidTr="00D36A3E">
        <w:trPr>
          <w:trHeight w:val="315"/>
        </w:trPr>
        <w:tc>
          <w:tcPr>
            <w:tcW w:w="5040" w:type="dxa"/>
            <w:tcBorders>
              <w:top w:val="nil"/>
              <w:left w:val="nil"/>
              <w:bottom w:val="nil"/>
              <w:right w:val="nil"/>
            </w:tcBorders>
            <w:shd w:val="clear" w:color="auto" w:fill="auto"/>
            <w:noWrap/>
            <w:vAlign w:val="bottom"/>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center"/>
              <w:rPr>
                <w:rFonts w:ascii="Arial" w:hAnsi="Arial" w:cs="Arial"/>
                <w:b/>
                <w:bCs/>
                <w:color w:val="000000"/>
                <w:szCs w:val="24"/>
              </w:rPr>
            </w:pPr>
            <w:r w:rsidRPr="00653459">
              <w:rPr>
                <w:rFonts w:ascii="Arial" w:hAnsi="Arial" w:cs="Arial"/>
                <w:b/>
                <w:bCs/>
                <w:color w:val="000000"/>
                <w:szCs w:val="24"/>
              </w:rPr>
              <w:t>2019/20</w:t>
            </w:r>
          </w:p>
        </w:tc>
        <w:tc>
          <w:tcPr>
            <w:tcW w:w="620" w:type="dxa"/>
            <w:tcBorders>
              <w:top w:val="nil"/>
              <w:left w:val="nil"/>
              <w:bottom w:val="nil"/>
              <w:right w:val="nil"/>
            </w:tcBorders>
            <w:shd w:val="clear" w:color="auto" w:fill="auto"/>
            <w:noWrap/>
            <w:vAlign w:val="bottom"/>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center"/>
              <w:rPr>
                <w:rFonts w:ascii="Arial" w:hAnsi="Arial" w:cs="Arial"/>
                <w:b/>
                <w:bCs/>
                <w:color w:val="000000"/>
                <w:szCs w:val="24"/>
              </w:rPr>
            </w:pPr>
            <w:r w:rsidRPr="00653459">
              <w:rPr>
                <w:rFonts w:ascii="Arial" w:hAnsi="Arial" w:cs="Arial"/>
                <w:b/>
                <w:bCs/>
                <w:color w:val="000000"/>
                <w:szCs w:val="24"/>
              </w:rPr>
              <w:t>2018/19</w:t>
            </w:r>
          </w:p>
        </w:tc>
      </w:tr>
      <w:tr w:rsidR="006B2627" w:rsidRPr="00653459" w:rsidTr="00D36A3E">
        <w:trPr>
          <w:trHeight w:val="315"/>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center"/>
              <w:rPr>
                <w:rFonts w:ascii="Arial" w:hAnsi="Arial" w:cs="Arial"/>
                <w:b/>
                <w:bCs/>
                <w:color w:val="000000"/>
                <w:szCs w:val="24"/>
              </w:rPr>
            </w:pPr>
            <w:r w:rsidRPr="00653459">
              <w:rPr>
                <w:rFonts w:ascii="Arial" w:hAnsi="Arial" w:cs="Arial"/>
                <w:b/>
                <w:bCs/>
                <w:color w:val="000000"/>
                <w:szCs w:val="24"/>
              </w:rPr>
              <w:t>£</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center"/>
              <w:rPr>
                <w:rFonts w:ascii="Arial" w:hAnsi="Arial" w:cs="Arial"/>
                <w:b/>
                <w:bCs/>
                <w:color w:val="000000"/>
                <w:szCs w:val="24"/>
              </w:rPr>
            </w:pPr>
            <w:r w:rsidRPr="00653459">
              <w:rPr>
                <w:rFonts w:ascii="Arial" w:hAnsi="Arial" w:cs="Arial"/>
                <w:b/>
                <w:bCs/>
                <w:color w:val="000000"/>
                <w:szCs w:val="24"/>
              </w:rPr>
              <w:t>£</w:t>
            </w: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3937A8" w:rsidRDefault="006B2627" w:rsidP="00D36A3E">
            <w:pPr>
              <w:rPr>
                <w:rFonts w:ascii="Arial" w:hAnsi="Arial" w:cs="Arial"/>
                <w:b/>
                <w:color w:val="000000"/>
                <w:szCs w:val="24"/>
              </w:rPr>
            </w:pPr>
            <w:r>
              <w:rPr>
                <w:rFonts w:ascii="Arial" w:hAnsi="Arial" w:cs="Arial"/>
                <w:b/>
                <w:color w:val="000000"/>
                <w:szCs w:val="24"/>
              </w:rPr>
              <w:t>INCOME</w:t>
            </w: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r w:rsidRPr="00653459">
              <w:rPr>
                <w:rFonts w:ascii="Arial" w:hAnsi="Arial" w:cs="Arial"/>
                <w:color w:val="000000"/>
                <w:szCs w:val="24"/>
              </w:rPr>
              <w:t>Rents</w:t>
            </w: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r>
              <w:rPr>
                <w:rFonts w:ascii="Arial" w:hAnsi="Arial" w:cs="Arial"/>
                <w:color w:val="000000"/>
                <w:szCs w:val="24"/>
              </w:rPr>
              <w:t>13,022</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0D7659" w:rsidP="000D7659">
            <w:pPr>
              <w:jc w:val="right"/>
              <w:rPr>
                <w:rFonts w:ascii="Arial" w:hAnsi="Arial" w:cs="Arial"/>
                <w:color w:val="000000"/>
                <w:szCs w:val="24"/>
              </w:rPr>
            </w:pPr>
            <w:r>
              <w:rPr>
                <w:rFonts w:ascii="Arial" w:hAnsi="Arial" w:cs="Arial"/>
                <w:color w:val="000000"/>
                <w:szCs w:val="24"/>
              </w:rPr>
              <w:t>13,022</w:t>
            </w:r>
          </w:p>
        </w:tc>
      </w:tr>
      <w:tr w:rsidR="00B26D47" w:rsidRPr="00653459" w:rsidTr="00B26D47">
        <w:trPr>
          <w:trHeight w:val="300"/>
        </w:trPr>
        <w:tc>
          <w:tcPr>
            <w:tcW w:w="5040" w:type="dxa"/>
            <w:tcBorders>
              <w:top w:val="nil"/>
              <w:left w:val="nil"/>
              <w:bottom w:val="nil"/>
              <w:right w:val="nil"/>
            </w:tcBorders>
            <w:shd w:val="clear" w:color="auto" w:fill="auto"/>
            <w:noWrap/>
            <w:vAlign w:val="center"/>
          </w:tcPr>
          <w:p w:rsidR="00B26D47" w:rsidRPr="00653459" w:rsidRDefault="00B26D47" w:rsidP="00D36A3E">
            <w:pPr>
              <w:rPr>
                <w:rFonts w:ascii="Arial" w:hAnsi="Arial" w:cs="Arial"/>
                <w:color w:val="000000"/>
                <w:szCs w:val="24"/>
              </w:rPr>
            </w:pPr>
            <w:r>
              <w:rPr>
                <w:rFonts w:ascii="Arial" w:hAnsi="Arial" w:cs="Arial"/>
                <w:color w:val="000000"/>
                <w:szCs w:val="24"/>
              </w:rPr>
              <w:t>Contributions to Projects</w:t>
            </w:r>
          </w:p>
        </w:tc>
        <w:tc>
          <w:tcPr>
            <w:tcW w:w="1440" w:type="dxa"/>
            <w:tcBorders>
              <w:top w:val="nil"/>
              <w:left w:val="nil"/>
              <w:right w:val="nil"/>
            </w:tcBorders>
            <w:shd w:val="clear" w:color="auto" w:fill="auto"/>
            <w:noWrap/>
            <w:vAlign w:val="center"/>
          </w:tcPr>
          <w:p w:rsidR="00B26D47" w:rsidRDefault="00B26D47" w:rsidP="00D36A3E">
            <w:pPr>
              <w:jc w:val="right"/>
              <w:rPr>
                <w:rFonts w:ascii="Arial" w:hAnsi="Arial" w:cs="Arial"/>
                <w:color w:val="000000"/>
                <w:szCs w:val="24"/>
              </w:rPr>
            </w:pPr>
          </w:p>
        </w:tc>
        <w:tc>
          <w:tcPr>
            <w:tcW w:w="620" w:type="dxa"/>
            <w:tcBorders>
              <w:top w:val="nil"/>
              <w:left w:val="nil"/>
              <w:bottom w:val="nil"/>
              <w:right w:val="nil"/>
            </w:tcBorders>
            <w:shd w:val="clear" w:color="auto" w:fill="auto"/>
            <w:noWrap/>
            <w:vAlign w:val="center"/>
          </w:tcPr>
          <w:p w:rsidR="00B26D47" w:rsidRPr="00653459" w:rsidRDefault="00B26D47" w:rsidP="00D36A3E">
            <w:pPr>
              <w:jc w:val="right"/>
              <w:rPr>
                <w:rFonts w:ascii="Arial" w:hAnsi="Arial" w:cs="Arial"/>
                <w:color w:val="000000"/>
                <w:szCs w:val="24"/>
              </w:rPr>
            </w:pPr>
          </w:p>
        </w:tc>
        <w:tc>
          <w:tcPr>
            <w:tcW w:w="1440" w:type="dxa"/>
            <w:tcBorders>
              <w:top w:val="nil"/>
              <w:left w:val="nil"/>
              <w:right w:val="nil"/>
            </w:tcBorders>
            <w:shd w:val="clear" w:color="auto" w:fill="auto"/>
            <w:noWrap/>
            <w:vAlign w:val="center"/>
          </w:tcPr>
          <w:p w:rsidR="00B26D47" w:rsidRDefault="00B26D47" w:rsidP="00D36A3E">
            <w:pPr>
              <w:jc w:val="right"/>
              <w:rPr>
                <w:rFonts w:ascii="Arial" w:hAnsi="Arial" w:cs="Arial"/>
                <w:color w:val="000000"/>
                <w:szCs w:val="24"/>
              </w:rPr>
            </w:pPr>
            <w:r>
              <w:rPr>
                <w:rFonts w:ascii="Arial" w:hAnsi="Arial" w:cs="Arial"/>
                <w:color w:val="000000"/>
                <w:szCs w:val="24"/>
              </w:rPr>
              <w:t>50,000</w:t>
            </w:r>
          </w:p>
        </w:tc>
      </w:tr>
      <w:tr w:rsidR="00B26D47" w:rsidRPr="00653459" w:rsidTr="00D36A3E">
        <w:trPr>
          <w:trHeight w:val="300"/>
        </w:trPr>
        <w:tc>
          <w:tcPr>
            <w:tcW w:w="5040" w:type="dxa"/>
            <w:tcBorders>
              <w:top w:val="nil"/>
              <w:left w:val="nil"/>
              <w:bottom w:val="nil"/>
              <w:right w:val="nil"/>
            </w:tcBorders>
            <w:shd w:val="clear" w:color="auto" w:fill="auto"/>
            <w:noWrap/>
            <w:vAlign w:val="center"/>
          </w:tcPr>
          <w:p w:rsidR="00B26D47" w:rsidRPr="00653459" w:rsidRDefault="00B26D47" w:rsidP="00D36A3E">
            <w:pPr>
              <w:rPr>
                <w:rFonts w:ascii="Arial" w:hAnsi="Arial" w:cs="Arial"/>
                <w:color w:val="000000"/>
                <w:szCs w:val="24"/>
              </w:rPr>
            </w:pPr>
            <w:r w:rsidRPr="00653459">
              <w:rPr>
                <w:rFonts w:ascii="Arial" w:hAnsi="Arial" w:cs="Arial"/>
                <w:color w:val="000000"/>
                <w:szCs w:val="24"/>
              </w:rPr>
              <w:t>Interest and investment income</w:t>
            </w:r>
          </w:p>
        </w:tc>
        <w:tc>
          <w:tcPr>
            <w:tcW w:w="1440" w:type="dxa"/>
            <w:tcBorders>
              <w:top w:val="nil"/>
              <w:left w:val="nil"/>
              <w:bottom w:val="single" w:sz="4" w:space="0" w:color="auto"/>
              <w:right w:val="nil"/>
            </w:tcBorders>
            <w:shd w:val="clear" w:color="auto" w:fill="auto"/>
            <w:noWrap/>
            <w:vAlign w:val="center"/>
          </w:tcPr>
          <w:p w:rsidR="00B26D47" w:rsidRDefault="00B26D47" w:rsidP="00D36A3E">
            <w:pPr>
              <w:jc w:val="right"/>
              <w:rPr>
                <w:rFonts w:ascii="Arial" w:hAnsi="Arial" w:cs="Arial"/>
                <w:color w:val="000000"/>
                <w:szCs w:val="24"/>
              </w:rPr>
            </w:pPr>
            <w:r>
              <w:rPr>
                <w:rFonts w:ascii="Arial" w:hAnsi="Arial" w:cs="Arial"/>
                <w:color w:val="000000"/>
                <w:szCs w:val="24"/>
              </w:rPr>
              <w:t>500</w:t>
            </w:r>
          </w:p>
        </w:tc>
        <w:tc>
          <w:tcPr>
            <w:tcW w:w="620" w:type="dxa"/>
            <w:tcBorders>
              <w:top w:val="nil"/>
              <w:left w:val="nil"/>
              <w:bottom w:val="nil"/>
              <w:right w:val="nil"/>
            </w:tcBorders>
            <w:shd w:val="clear" w:color="auto" w:fill="auto"/>
            <w:noWrap/>
            <w:vAlign w:val="center"/>
          </w:tcPr>
          <w:p w:rsidR="00B26D47" w:rsidRPr="00653459" w:rsidRDefault="00B26D47" w:rsidP="00D36A3E">
            <w:pPr>
              <w:jc w:val="right"/>
              <w:rPr>
                <w:rFonts w:ascii="Arial" w:hAnsi="Arial" w:cs="Arial"/>
                <w:color w:val="000000"/>
                <w:szCs w:val="24"/>
              </w:rPr>
            </w:pPr>
          </w:p>
        </w:tc>
        <w:tc>
          <w:tcPr>
            <w:tcW w:w="1440" w:type="dxa"/>
            <w:tcBorders>
              <w:top w:val="nil"/>
              <w:left w:val="nil"/>
              <w:bottom w:val="single" w:sz="4" w:space="0" w:color="auto"/>
              <w:right w:val="nil"/>
            </w:tcBorders>
            <w:shd w:val="clear" w:color="auto" w:fill="auto"/>
            <w:noWrap/>
            <w:vAlign w:val="center"/>
          </w:tcPr>
          <w:p w:rsidR="00B26D47" w:rsidRDefault="00B26D47" w:rsidP="00B26D47">
            <w:pPr>
              <w:jc w:val="right"/>
              <w:rPr>
                <w:rFonts w:ascii="Arial" w:hAnsi="Arial" w:cs="Arial"/>
                <w:color w:val="000000"/>
                <w:szCs w:val="24"/>
              </w:rPr>
            </w:pPr>
            <w:r>
              <w:rPr>
                <w:rFonts w:ascii="Arial" w:hAnsi="Arial" w:cs="Arial"/>
                <w:color w:val="000000"/>
                <w:szCs w:val="24"/>
              </w:rPr>
              <w:t>750</w:t>
            </w: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653459" w:rsidRDefault="00265362" w:rsidP="00D36A3E">
            <w:pPr>
              <w:rPr>
                <w:rFonts w:ascii="Arial" w:hAnsi="Arial" w:cs="Arial"/>
                <w:color w:val="000000"/>
                <w:szCs w:val="24"/>
              </w:rPr>
            </w:pPr>
            <w:r>
              <w:rPr>
                <w:rFonts w:ascii="Arial" w:hAnsi="Arial" w:cs="Arial"/>
                <w:b/>
                <w:color w:val="000000"/>
                <w:szCs w:val="24"/>
              </w:rPr>
              <w:t>TOTAL INCOME</w:t>
            </w:r>
          </w:p>
        </w:tc>
        <w:tc>
          <w:tcPr>
            <w:tcW w:w="1440" w:type="dxa"/>
            <w:tcBorders>
              <w:top w:val="nil"/>
              <w:left w:val="nil"/>
              <w:bottom w:val="single" w:sz="4" w:space="0" w:color="auto"/>
              <w:right w:val="nil"/>
            </w:tcBorders>
            <w:shd w:val="clear" w:color="auto" w:fill="auto"/>
            <w:noWrap/>
            <w:vAlign w:val="center"/>
            <w:hideMark/>
          </w:tcPr>
          <w:p w:rsidR="006B2627" w:rsidRPr="00074036" w:rsidRDefault="003949E7" w:rsidP="00D36A3E">
            <w:pPr>
              <w:jc w:val="right"/>
              <w:rPr>
                <w:rFonts w:ascii="Arial" w:hAnsi="Arial" w:cs="Arial"/>
                <w:b/>
                <w:color w:val="000000"/>
                <w:szCs w:val="24"/>
              </w:rPr>
            </w:pPr>
            <w:r w:rsidRPr="00074036">
              <w:rPr>
                <w:rFonts w:ascii="Arial" w:hAnsi="Arial" w:cs="Arial"/>
                <w:b/>
                <w:color w:val="000000"/>
                <w:szCs w:val="24"/>
              </w:rPr>
              <w:t>13,522</w:t>
            </w:r>
          </w:p>
        </w:tc>
        <w:tc>
          <w:tcPr>
            <w:tcW w:w="620" w:type="dxa"/>
            <w:tcBorders>
              <w:top w:val="nil"/>
              <w:left w:val="nil"/>
              <w:bottom w:val="nil"/>
              <w:right w:val="nil"/>
            </w:tcBorders>
            <w:shd w:val="clear" w:color="auto" w:fill="auto"/>
            <w:noWrap/>
            <w:vAlign w:val="center"/>
            <w:hideMark/>
          </w:tcPr>
          <w:p w:rsidR="006B2627" w:rsidRPr="00074036" w:rsidRDefault="006B2627" w:rsidP="00D36A3E">
            <w:pPr>
              <w:jc w:val="right"/>
              <w:rPr>
                <w:rFonts w:ascii="Arial" w:hAnsi="Arial" w:cs="Arial"/>
                <w:b/>
                <w:color w:val="000000"/>
                <w:szCs w:val="24"/>
              </w:rPr>
            </w:pPr>
          </w:p>
        </w:tc>
        <w:tc>
          <w:tcPr>
            <w:tcW w:w="1440" w:type="dxa"/>
            <w:tcBorders>
              <w:top w:val="nil"/>
              <w:left w:val="nil"/>
              <w:bottom w:val="single" w:sz="4" w:space="0" w:color="auto"/>
              <w:right w:val="nil"/>
            </w:tcBorders>
            <w:shd w:val="clear" w:color="auto" w:fill="auto"/>
            <w:noWrap/>
            <w:vAlign w:val="center"/>
            <w:hideMark/>
          </w:tcPr>
          <w:p w:rsidR="006B2627" w:rsidRPr="00074036" w:rsidRDefault="00DF48CA" w:rsidP="00DF48CA">
            <w:pPr>
              <w:jc w:val="right"/>
              <w:rPr>
                <w:rFonts w:ascii="Arial" w:hAnsi="Arial" w:cs="Arial"/>
                <w:b/>
                <w:color w:val="000000"/>
                <w:szCs w:val="24"/>
              </w:rPr>
            </w:pPr>
            <w:r>
              <w:rPr>
                <w:rFonts w:ascii="Arial" w:hAnsi="Arial" w:cs="Arial"/>
                <w:b/>
                <w:color w:val="000000"/>
                <w:szCs w:val="24"/>
              </w:rPr>
              <w:t>63,77</w:t>
            </w:r>
            <w:r w:rsidR="003949E7" w:rsidRPr="00074036">
              <w:rPr>
                <w:rFonts w:ascii="Arial" w:hAnsi="Arial" w:cs="Arial"/>
                <w:b/>
                <w:color w:val="000000"/>
                <w:szCs w:val="24"/>
              </w:rPr>
              <w:t>2</w:t>
            </w: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B26D47" w:rsidRDefault="00B26D47" w:rsidP="00D36A3E">
            <w:pPr>
              <w:rPr>
                <w:rFonts w:ascii="Arial" w:hAnsi="Arial" w:cs="Arial"/>
                <w:b/>
                <w:color w:val="000000"/>
                <w:szCs w:val="24"/>
              </w:rPr>
            </w:pPr>
          </w:p>
          <w:p w:rsidR="006B2627" w:rsidRPr="003937A8" w:rsidRDefault="006B2627" w:rsidP="00D36A3E">
            <w:pPr>
              <w:rPr>
                <w:rFonts w:ascii="Arial" w:hAnsi="Arial" w:cs="Arial"/>
                <w:b/>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3937A8" w:rsidRDefault="006B2627" w:rsidP="00D36A3E">
            <w:pPr>
              <w:rPr>
                <w:rFonts w:ascii="Arial" w:hAnsi="Arial" w:cs="Arial"/>
                <w:b/>
                <w:color w:val="000000"/>
                <w:szCs w:val="24"/>
              </w:rPr>
            </w:pPr>
            <w:r>
              <w:rPr>
                <w:rFonts w:ascii="Arial" w:hAnsi="Arial" w:cs="Arial"/>
                <w:b/>
                <w:color w:val="000000"/>
                <w:szCs w:val="24"/>
              </w:rPr>
              <w:t>EXPENDITURE</w:t>
            </w: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r w:rsidRPr="00653459">
              <w:rPr>
                <w:rFonts w:ascii="Arial" w:hAnsi="Arial" w:cs="Arial"/>
                <w:color w:val="000000"/>
                <w:szCs w:val="24"/>
              </w:rPr>
              <w:t>Property costs</w:t>
            </w:r>
          </w:p>
        </w:tc>
        <w:tc>
          <w:tcPr>
            <w:tcW w:w="1440" w:type="dxa"/>
            <w:tcBorders>
              <w:top w:val="nil"/>
              <w:left w:val="nil"/>
              <w:bottom w:val="nil"/>
              <w:right w:val="nil"/>
            </w:tcBorders>
            <w:shd w:val="clear" w:color="auto" w:fill="auto"/>
            <w:noWrap/>
            <w:vAlign w:val="center"/>
            <w:hideMark/>
          </w:tcPr>
          <w:p w:rsidR="006B2627" w:rsidRPr="00653459" w:rsidRDefault="00B26D47" w:rsidP="00D36A3E">
            <w:pPr>
              <w:jc w:val="right"/>
              <w:rPr>
                <w:rFonts w:ascii="Arial" w:hAnsi="Arial" w:cs="Arial"/>
                <w:color w:val="000000"/>
                <w:szCs w:val="24"/>
              </w:rPr>
            </w:pPr>
            <w:r>
              <w:rPr>
                <w:rFonts w:ascii="Arial" w:hAnsi="Arial" w:cs="Arial"/>
                <w:color w:val="000000"/>
                <w:szCs w:val="24"/>
              </w:rPr>
              <w:t>2,000</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B26D47" w:rsidP="00D36A3E">
            <w:pPr>
              <w:jc w:val="right"/>
              <w:rPr>
                <w:rFonts w:ascii="Arial" w:hAnsi="Arial" w:cs="Arial"/>
                <w:color w:val="000000"/>
                <w:szCs w:val="24"/>
              </w:rPr>
            </w:pPr>
            <w:r>
              <w:rPr>
                <w:rFonts w:ascii="Arial" w:hAnsi="Arial" w:cs="Arial"/>
                <w:color w:val="000000"/>
                <w:szCs w:val="24"/>
              </w:rPr>
              <w:t>1,500</w:t>
            </w:r>
          </w:p>
        </w:tc>
      </w:tr>
      <w:tr w:rsidR="003949E7" w:rsidRPr="00653459" w:rsidTr="00D36A3E">
        <w:trPr>
          <w:trHeight w:val="300"/>
        </w:trPr>
        <w:tc>
          <w:tcPr>
            <w:tcW w:w="5040" w:type="dxa"/>
            <w:tcBorders>
              <w:top w:val="nil"/>
              <w:left w:val="nil"/>
              <w:bottom w:val="nil"/>
              <w:right w:val="nil"/>
            </w:tcBorders>
            <w:shd w:val="clear" w:color="auto" w:fill="auto"/>
            <w:noWrap/>
            <w:vAlign w:val="center"/>
          </w:tcPr>
          <w:p w:rsidR="003949E7" w:rsidRPr="00653459" w:rsidRDefault="003949E7" w:rsidP="00D36A3E">
            <w:pPr>
              <w:rPr>
                <w:rFonts w:ascii="Arial" w:hAnsi="Arial" w:cs="Arial"/>
                <w:color w:val="000000"/>
                <w:szCs w:val="24"/>
              </w:rPr>
            </w:pPr>
            <w:proofErr w:type="spellStart"/>
            <w:r>
              <w:rPr>
                <w:rFonts w:ascii="Arial" w:hAnsi="Arial" w:cs="Arial"/>
                <w:color w:val="000000"/>
                <w:szCs w:val="24"/>
              </w:rPr>
              <w:t>Rosemarkie</w:t>
            </w:r>
            <w:proofErr w:type="spellEnd"/>
            <w:r>
              <w:rPr>
                <w:rFonts w:ascii="Arial" w:hAnsi="Arial" w:cs="Arial"/>
                <w:color w:val="000000"/>
                <w:szCs w:val="24"/>
              </w:rPr>
              <w:t xml:space="preserve"> Coastal Protection Works</w:t>
            </w:r>
          </w:p>
        </w:tc>
        <w:tc>
          <w:tcPr>
            <w:tcW w:w="1440" w:type="dxa"/>
            <w:tcBorders>
              <w:top w:val="nil"/>
              <w:left w:val="nil"/>
              <w:bottom w:val="nil"/>
              <w:right w:val="nil"/>
            </w:tcBorders>
            <w:shd w:val="clear" w:color="auto" w:fill="auto"/>
            <w:noWrap/>
            <w:vAlign w:val="center"/>
          </w:tcPr>
          <w:p w:rsidR="003949E7" w:rsidRDefault="00265362" w:rsidP="00D36A3E">
            <w:pPr>
              <w:jc w:val="right"/>
              <w:rPr>
                <w:rFonts w:ascii="Arial" w:hAnsi="Arial" w:cs="Arial"/>
                <w:color w:val="000000"/>
                <w:szCs w:val="24"/>
              </w:rPr>
            </w:pPr>
            <w:r>
              <w:rPr>
                <w:rFonts w:ascii="Arial" w:hAnsi="Arial" w:cs="Arial"/>
                <w:color w:val="000000"/>
                <w:szCs w:val="24"/>
              </w:rPr>
              <w:t>-</w:t>
            </w:r>
          </w:p>
        </w:tc>
        <w:tc>
          <w:tcPr>
            <w:tcW w:w="620" w:type="dxa"/>
            <w:tcBorders>
              <w:top w:val="nil"/>
              <w:left w:val="nil"/>
              <w:bottom w:val="nil"/>
              <w:right w:val="nil"/>
            </w:tcBorders>
            <w:shd w:val="clear" w:color="auto" w:fill="auto"/>
            <w:noWrap/>
            <w:vAlign w:val="center"/>
          </w:tcPr>
          <w:p w:rsidR="003949E7" w:rsidRPr="00653459" w:rsidRDefault="003949E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tcPr>
          <w:p w:rsidR="003949E7" w:rsidRDefault="00265362" w:rsidP="00D36A3E">
            <w:pPr>
              <w:jc w:val="right"/>
              <w:rPr>
                <w:rFonts w:ascii="Arial" w:hAnsi="Arial" w:cs="Arial"/>
                <w:color w:val="000000"/>
                <w:szCs w:val="24"/>
              </w:rPr>
            </w:pPr>
            <w:r>
              <w:rPr>
                <w:rFonts w:ascii="Arial" w:hAnsi="Arial" w:cs="Arial"/>
                <w:color w:val="000000"/>
                <w:szCs w:val="24"/>
              </w:rPr>
              <w:t>89,270</w:t>
            </w:r>
          </w:p>
        </w:tc>
      </w:tr>
      <w:tr w:rsidR="006B2627" w:rsidRPr="00653459" w:rsidTr="00074036">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r w:rsidRPr="00653459">
              <w:rPr>
                <w:rFonts w:ascii="Arial" w:hAnsi="Arial" w:cs="Arial"/>
                <w:color w:val="000000"/>
                <w:szCs w:val="24"/>
              </w:rPr>
              <w:t>Grants</w:t>
            </w:r>
          </w:p>
        </w:tc>
        <w:tc>
          <w:tcPr>
            <w:tcW w:w="1440" w:type="dxa"/>
            <w:tcBorders>
              <w:top w:val="nil"/>
              <w:left w:val="nil"/>
              <w:right w:val="nil"/>
            </w:tcBorders>
            <w:shd w:val="clear" w:color="auto" w:fill="auto"/>
            <w:noWrap/>
            <w:vAlign w:val="center"/>
            <w:hideMark/>
          </w:tcPr>
          <w:p w:rsidR="006B2627" w:rsidRPr="00653459" w:rsidRDefault="00B26D47" w:rsidP="00D36A3E">
            <w:pPr>
              <w:jc w:val="right"/>
              <w:rPr>
                <w:rFonts w:ascii="Arial" w:hAnsi="Arial" w:cs="Arial"/>
                <w:color w:val="000000"/>
                <w:szCs w:val="24"/>
              </w:rPr>
            </w:pPr>
            <w:r>
              <w:rPr>
                <w:rFonts w:ascii="Arial" w:hAnsi="Arial" w:cs="Arial"/>
                <w:color w:val="000000"/>
                <w:szCs w:val="24"/>
              </w:rPr>
              <w:t>1,000</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right w:val="nil"/>
            </w:tcBorders>
            <w:shd w:val="clear" w:color="auto" w:fill="auto"/>
            <w:noWrap/>
            <w:vAlign w:val="center"/>
            <w:hideMark/>
          </w:tcPr>
          <w:p w:rsidR="006B2627" w:rsidRPr="00653459" w:rsidRDefault="00B26D47" w:rsidP="00D36A3E">
            <w:pPr>
              <w:jc w:val="right"/>
              <w:rPr>
                <w:rFonts w:ascii="Arial" w:hAnsi="Arial" w:cs="Arial"/>
                <w:color w:val="000000"/>
                <w:szCs w:val="24"/>
              </w:rPr>
            </w:pPr>
            <w:r>
              <w:rPr>
                <w:rFonts w:ascii="Arial" w:hAnsi="Arial" w:cs="Arial"/>
                <w:color w:val="000000"/>
                <w:szCs w:val="24"/>
              </w:rPr>
              <w:t>1,000</w:t>
            </w:r>
          </w:p>
        </w:tc>
      </w:tr>
      <w:tr w:rsidR="00074036" w:rsidRPr="00653459" w:rsidTr="00074036">
        <w:trPr>
          <w:trHeight w:val="300"/>
        </w:trPr>
        <w:tc>
          <w:tcPr>
            <w:tcW w:w="5040" w:type="dxa"/>
            <w:tcBorders>
              <w:top w:val="nil"/>
              <w:left w:val="nil"/>
              <w:bottom w:val="nil"/>
              <w:right w:val="nil"/>
            </w:tcBorders>
            <w:shd w:val="clear" w:color="auto" w:fill="auto"/>
            <w:noWrap/>
            <w:vAlign w:val="center"/>
          </w:tcPr>
          <w:p w:rsidR="00074036" w:rsidRPr="00653459" w:rsidRDefault="00074036" w:rsidP="00D36A3E">
            <w:pPr>
              <w:rPr>
                <w:rFonts w:ascii="Arial" w:hAnsi="Arial" w:cs="Arial"/>
                <w:color w:val="000000"/>
                <w:szCs w:val="24"/>
              </w:rPr>
            </w:pPr>
            <w:r>
              <w:rPr>
                <w:rFonts w:ascii="Arial" w:hAnsi="Arial" w:cs="Arial"/>
                <w:color w:val="000000"/>
                <w:szCs w:val="24"/>
              </w:rPr>
              <w:t>Special CG Projects</w:t>
            </w:r>
          </w:p>
        </w:tc>
        <w:tc>
          <w:tcPr>
            <w:tcW w:w="1440" w:type="dxa"/>
            <w:tcBorders>
              <w:top w:val="nil"/>
              <w:left w:val="nil"/>
              <w:right w:val="nil"/>
            </w:tcBorders>
            <w:shd w:val="clear" w:color="auto" w:fill="auto"/>
            <w:noWrap/>
            <w:vAlign w:val="center"/>
          </w:tcPr>
          <w:p w:rsidR="00074036" w:rsidRDefault="00074036" w:rsidP="00B26D47">
            <w:pPr>
              <w:jc w:val="right"/>
              <w:rPr>
                <w:rFonts w:ascii="Arial" w:hAnsi="Arial" w:cs="Arial"/>
                <w:color w:val="000000"/>
                <w:szCs w:val="24"/>
              </w:rPr>
            </w:pPr>
            <w:r>
              <w:rPr>
                <w:rFonts w:ascii="Arial" w:hAnsi="Arial" w:cs="Arial"/>
                <w:color w:val="000000"/>
                <w:szCs w:val="24"/>
              </w:rPr>
              <w:t>-</w:t>
            </w:r>
          </w:p>
        </w:tc>
        <w:tc>
          <w:tcPr>
            <w:tcW w:w="620" w:type="dxa"/>
            <w:tcBorders>
              <w:top w:val="nil"/>
              <w:left w:val="nil"/>
              <w:bottom w:val="nil"/>
              <w:right w:val="nil"/>
            </w:tcBorders>
            <w:shd w:val="clear" w:color="auto" w:fill="auto"/>
            <w:noWrap/>
            <w:vAlign w:val="center"/>
          </w:tcPr>
          <w:p w:rsidR="00074036" w:rsidRPr="00653459" w:rsidRDefault="00074036" w:rsidP="00D36A3E">
            <w:pPr>
              <w:jc w:val="right"/>
              <w:rPr>
                <w:rFonts w:ascii="Arial" w:hAnsi="Arial" w:cs="Arial"/>
                <w:color w:val="000000"/>
                <w:szCs w:val="24"/>
              </w:rPr>
            </w:pPr>
          </w:p>
        </w:tc>
        <w:tc>
          <w:tcPr>
            <w:tcW w:w="1440" w:type="dxa"/>
            <w:tcBorders>
              <w:top w:val="nil"/>
              <w:left w:val="nil"/>
              <w:right w:val="nil"/>
            </w:tcBorders>
            <w:shd w:val="clear" w:color="auto" w:fill="auto"/>
            <w:noWrap/>
            <w:vAlign w:val="center"/>
          </w:tcPr>
          <w:p w:rsidR="00074036" w:rsidRDefault="00074036" w:rsidP="00D36A3E">
            <w:pPr>
              <w:jc w:val="right"/>
              <w:rPr>
                <w:rFonts w:ascii="Arial" w:hAnsi="Arial" w:cs="Arial"/>
                <w:color w:val="000000"/>
                <w:szCs w:val="24"/>
              </w:rPr>
            </w:pPr>
            <w:r>
              <w:rPr>
                <w:rFonts w:ascii="Arial" w:hAnsi="Arial" w:cs="Arial"/>
                <w:color w:val="000000"/>
                <w:szCs w:val="24"/>
              </w:rPr>
              <w:t>1,000</w:t>
            </w:r>
          </w:p>
        </w:tc>
      </w:tr>
      <w:tr w:rsidR="006B2627" w:rsidRPr="00653459" w:rsidTr="00074036">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r w:rsidRPr="00653459">
              <w:rPr>
                <w:rFonts w:ascii="Arial" w:hAnsi="Arial" w:cs="Arial"/>
                <w:color w:val="000000"/>
                <w:szCs w:val="24"/>
              </w:rPr>
              <w:t>Central Support</w:t>
            </w:r>
          </w:p>
        </w:tc>
        <w:tc>
          <w:tcPr>
            <w:tcW w:w="1440" w:type="dxa"/>
            <w:tcBorders>
              <w:left w:val="nil"/>
              <w:bottom w:val="single" w:sz="4" w:space="0" w:color="auto"/>
              <w:right w:val="nil"/>
            </w:tcBorders>
            <w:shd w:val="clear" w:color="auto" w:fill="auto"/>
            <w:noWrap/>
            <w:vAlign w:val="center"/>
            <w:hideMark/>
          </w:tcPr>
          <w:p w:rsidR="006B2627" w:rsidRPr="00653459" w:rsidRDefault="00B26D47" w:rsidP="00B26D47">
            <w:pPr>
              <w:jc w:val="right"/>
              <w:rPr>
                <w:rFonts w:ascii="Arial" w:hAnsi="Arial" w:cs="Arial"/>
                <w:color w:val="000000"/>
                <w:szCs w:val="24"/>
              </w:rPr>
            </w:pPr>
            <w:r>
              <w:rPr>
                <w:rFonts w:ascii="Arial" w:hAnsi="Arial" w:cs="Arial"/>
                <w:color w:val="000000"/>
                <w:szCs w:val="24"/>
              </w:rPr>
              <w:t>1,000</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left w:val="nil"/>
              <w:bottom w:val="single" w:sz="4" w:space="0" w:color="auto"/>
              <w:right w:val="nil"/>
            </w:tcBorders>
            <w:shd w:val="clear" w:color="auto" w:fill="auto"/>
            <w:noWrap/>
            <w:vAlign w:val="center"/>
            <w:hideMark/>
          </w:tcPr>
          <w:p w:rsidR="006B2627" w:rsidRPr="00653459" w:rsidRDefault="00DF48CA" w:rsidP="00D36A3E">
            <w:pPr>
              <w:jc w:val="right"/>
              <w:rPr>
                <w:rFonts w:ascii="Arial" w:hAnsi="Arial" w:cs="Arial"/>
                <w:color w:val="000000"/>
                <w:szCs w:val="24"/>
              </w:rPr>
            </w:pPr>
            <w:r>
              <w:rPr>
                <w:rFonts w:ascii="Arial" w:hAnsi="Arial" w:cs="Arial"/>
                <w:color w:val="000000"/>
                <w:szCs w:val="24"/>
              </w:rPr>
              <w:t>500</w:t>
            </w: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3937A8" w:rsidRDefault="006B2627" w:rsidP="00D36A3E">
            <w:pPr>
              <w:rPr>
                <w:rFonts w:ascii="Arial" w:hAnsi="Arial" w:cs="Arial"/>
                <w:b/>
                <w:color w:val="000000"/>
                <w:szCs w:val="24"/>
              </w:rPr>
            </w:pPr>
            <w:r>
              <w:rPr>
                <w:rFonts w:ascii="Arial" w:hAnsi="Arial" w:cs="Arial"/>
                <w:b/>
                <w:color w:val="000000"/>
                <w:szCs w:val="24"/>
              </w:rPr>
              <w:t>TOTAL EXPENDITURE</w:t>
            </w:r>
          </w:p>
        </w:tc>
        <w:tc>
          <w:tcPr>
            <w:tcW w:w="1440" w:type="dxa"/>
            <w:tcBorders>
              <w:top w:val="nil"/>
              <w:left w:val="nil"/>
              <w:bottom w:val="nil"/>
              <w:right w:val="nil"/>
            </w:tcBorders>
            <w:shd w:val="clear" w:color="auto" w:fill="auto"/>
            <w:noWrap/>
            <w:vAlign w:val="center"/>
            <w:hideMark/>
          </w:tcPr>
          <w:p w:rsidR="006B2627" w:rsidRPr="00653459" w:rsidRDefault="00074036" w:rsidP="00D36A3E">
            <w:pPr>
              <w:jc w:val="right"/>
              <w:rPr>
                <w:rFonts w:ascii="Arial" w:hAnsi="Arial" w:cs="Arial"/>
                <w:color w:val="000000"/>
                <w:szCs w:val="24"/>
              </w:rPr>
            </w:pPr>
            <w:r>
              <w:rPr>
                <w:rFonts w:ascii="Arial" w:hAnsi="Arial" w:cs="Arial"/>
                <w:b/>
                <w:color w:val="000000"/>
                <w:szCs w:val="24"/>
              </w:rPr>
              <w:t>4,000</w:t>
            </w: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074036" w:rsidRDefault="00074036" w:rsidP="00074036">
            <w:pPr>
              <w:jc w:val="right"/>
              <w:rPr>
                <w:rFonts w:ascii="Arial" w:hAnsi="Arial" w:cs="Arial"/>
                <w:b/>
                <w:color w:val="000000"/>
                <w:szCs w:val="24"/>
              </w:rPr>
            </w:pPr>
            <w:r w:rsidRPr="00074036">
              <w:rPr>
                <w:rFonts w:ascii="Arial" w:hAnsi="Arial" w:cs="Arial"/>
                <w:b/>
                <w:color w:val="000000"/>
                <w:szCs w:val="24"/>
              </w:rPr>
              <w:t>92,770</w:t>
            </w:r>
          </w:p>
        </w:tc>
      </w:tr>
      <w:tr w:rsidR="006B2627" w:rsidRPr="00653459" w:rsidTr="00D36A3E">
        <w:trPr>
          <w:trHeight w:val="300"/>
        </w:trPr>
        <w:tc>
          <w:tcPr>
            <w:tcW w:w="5040" w:type="dxa"/>
            <w:tcBorders>
              <w:top w:val="nil"/>
              <w:left w:val="nil"/>
              <w:bottom w:val="nil"/>
              <w:right w:val="nil"/>
            </w:tcBorders>
            <w:shd w:val="clear" w:color="auto" w:fill="auto"/>
            <w:noWrap/>
            <w:vAlign w:val="center"/>
            <w:hideMark/>
          </w:tcPr>
          <w:p w:rsidR="006B2627" w:rsidRPr="00653459" w:rsidRDefault="006B2627" w:rsidP="00D36A3E">
            <w:pPr>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62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c>
          <w:tcPr>
            <w:tcW w:w="1440" w:type="dxa"/>
            <w:tcBorders>
              <w:top w:val="nil"/>
              <w:left w:val="nil"/>
              <w:bottom w:val="nil"/>
              <w:right w:val="nil"/>
            </w:tcBorders>
            <w:shd w:val="clear" w:color="auto" w:fill="auto"/>
            <w:noWrap/>
            <w:vAlign w:val="center"/>
            <w:hideMark/>
          </w:tcPr>
          <w:p w:rsidR="006B2627" w:rsidRPr="00653459" w:rsidRDefault="006B2627" w:rsidP="00D36A3E">
            <w:pPr>
              <w:jc w:val="right"/>
              <w:rPr>
                <w:rFonts w:ascii="Arial" w:hAnsi="Arial" w:cs="Arial"/>
                <w:color w:val="000000"/>
                <w:szCs w:val="24"/>
              </w:rPr>
            </w:pPr>
          </w:p>
        </w:tc>
      </w:tr>
      <w:tr w:rsidR="006B2627" w:rsidRPr="003937A8" w:rsidTr="003949E7">
        <w:trPr>
          <w:trHeight w:val="472"/>
        </w:trPr>
        <w:tc>
          <w:tcPr>
            <w:tcW w:w="5040" w:type="dxa"/>
            <w:tcBorders>
              <w:top w:val="nil"/>
              <w:left w:val="nil"/>
              <w:bottom w:val="nil"/>
              <w:right w:val="nil"/>
            </w:tcBorders>
            <w:shd w:val="clear" w:color="auto" w:fill="auto"/>
            <w:noWrap/>
            <w:vAlign w:val="center"/>
            <w:hideMark/>
          </w:tcPr>
          <w:p w:rsidR="006B2627" w:rsidRPr="003937A8" w:rsidRDefault="006B2627" w:rsidP="00D36A3E">
            <w:pPr>
              <w:rPr>
                <w:rFonts w:ascii="Arial" w:hAnsi="Arial" w:cs="Arial"/>
                <w:b/>
                <w:bCs/>
                <w:color w:val="000000"/>
                <w:szCs w:val="24"/>
              </w:rPr>
            </w:pPr>
            <w:r w:rsidRPr="003937A8">
              <w:rPr>
                <w:rFonts w:ascii="Arial" w:hAnsi="Arial" w:cs="Arial"/>
                <w:b/>
                <w:bCs/>
                <w:color w:val="000000"/>
                <w:szCs w:val="24"/>
              </w:rPr>
              <w:t>Surplus/(deficit) for year</w:t>
            </w:r>
          </w:p>
        </w:tc>
        <w:tc>
          <w:tcPr>
            <w:tcW w:w="1440" w:type="dxa"/>
            <w:tcBorders>
              <w:top w:val="single" w:sz="4" w:space="0" w:color="auto"/>
              <w:left w:val="nil"/>
              <w:bottom w:val="double" w:sz="6" w:space="0" w:color="auto"/>
              <w:right w:val="nil"/>
            </w:tcBorders>
            <w:shd w:val="clear" w:color="auto" w:fill="auto"/>
            <w:noWrap/>
            <w:vAlign w:val="center"/>
            <w:hideMark/>
          </w:tcPr>
          <w:p w:rsidR="006B2627" w:rsidRPr="003937A8" w:rsidRDefault="00074036" w:rsidP="00D36A3E">
            <w:pPr>
              <w:jc w:val="right"/>
              <w:rPr>
                <w:rFonts w:ascii="Arial" w:hAnsi="Arial" w:cs="Arial"/>
                <w:b/>
                <w:color w:val="000000"/>
                <w:szCs w:val="24"/>
              </w:rPr>
            </w:pPr>
            <w:r>
              <w:rPr>
                <w:rFonts w:ascii="Arial" w:hAnsi="Arial" w:cs="Arial"/>
                <w:b/>
                <w:color w:val="000000"/>
                <w:szCs w:val="24"/>
              </w:rPr>
              <w:t>9,522</w:t>
            </w:r>
          </w:p>
        </w:tc>
        <w:tc>
          <w:tcPr>
            <w:tcW w:w="620" w:type="dxa"/>
            <w:tcBorders>
              <w:top w:val="nil"/>
              <w:left w:val="nil"/>
              <w:bottom w:val="nil"/>
              <w:right w:val="nil"/>
            </w:tcBorders>
            <w:shd w:val="clear" w:color="auto" w:fill="auto"/>
            <w:noWrap/>
            <w:vAlign w:val="center"/>
            <w:hideMark/>
          </w:tcPr>
          <w:p w:rsidR="006B2627" w:rsidRPr="003937A8" w:rsidRDefault="006B2627" w:rsidP="00D36A3E">
            <w:pPr>
              <w:jc w:val="right"/>
              <w:rPr>
                <w:rFonts w:ascii="Arial" w:hAnsi="Arial" w:cs="Arial"/>
                <w:b/>
                <w:color w:val="000000"/>
                <w:szCs w:val="24"/>
              </w:rPr>
            </w:pPr>
          </w:p>
        </w:tc>
        <w:tc>
          <w:tcPr>
            <w:tcW w:w="1440" w:type="dxa"/>
            <w:tcBorders>
              <w:top w:val="single" w:sz="4" w:space="0" w:color="auto"/>
              <w:left w:val="nil"/>
              <w:bottom w:val="double" w:sz="6" w:space="0" w:color="auto"/>
              <w:right w:val="nil"/>
            </w:tcBorders>
            <w:shd w:val="clear" w:color="auto" w:fill="auto"/>
            <w:noWrap/>
            <w:vAlign w:val="center"/>
            <w:hideMark/>
          </w:tcPr>
          <w:p w:rsidR="006B2627" w:rsidRPr="003937A8" w:rsidRDefault="00BD7125" w:rsidP="00D36A3E">
            <w:pPr>
              <w:jc w:val="right"/>
              <w:rPr>
                <w:rFonts w:ascii="Arial" w:hAnsi="Arial" w:cs="Arial"/>
                <w:b/>
                <w:color w:val="000000"/>
                <w:szCs w:val="24"/>
              </w:rPr>
            </w:pPr>
            <w:r>
              <w:rPr>
                <w:rFonts w:ascii="Arial" w:hAnsi="Arial" w:cs="Arial"/>
                <w:b/>
                <w:color w:val="000000"/>
                <w:szCs w:val="24"/>
              </w:rPr>
              <w:t>(</w:t>
            </w:r>
            <w:r w:rsidR="00DF48CA">
              <w:rPr>
                <w:rFonts w:ascii="Arial" w:hAnsi="Arial" w:cs="Arial"/>
                <w:b/>
                <w:color w:val="000000"/>
                <w:szCs w:val="24"/>
              </w:rPr>
              <w:t>29,498</w:t>
            </w:r>
            <w:r>
              <w:rPr>
                <w:rFonts w:ascii="Arial" w:hAnsi="Arial" w:cs="Arial"/>
                <w:b/>
                <w:color w:val="000000"/>
                <w:szCs w:val="24"/>
              </w:rPr>
              <w:t>)</w:t>
            </w:r>
            <w:bookmarkStart w:id="0" w:name="_GoBack"/>
            <w:bookmarkEnd w:id="0"/>
          </w:p>
        </w:tc>
      </w:tr>
    </w:tbl>
    <w:p w:rsidR="006B2627" w:rsidRPr="003937A8" w:rsidRDefault="006B2627" w:rsidP="006B2627">
      <w:pPr>
        <w:rPr>
          <w:rFonts w:ascii="Arial" w:hAnsi="Arial" w:cs="Arial"/>
          <w:b/>
          <w:szCs w:val="24"/>
        </w:rPr>
      </w:pPr>
    </w:p>
    <w:p w:rsidR="006B2627" w:rsidRPr="00D57AC4" w:rsidRDefault="006B2627" w:rsidP="006B2627">
      <w:pPr>
        <w:jc w:val="both"/>
        <w:rPr>
          <w:rFonts w:ascii="Arial" w:hAnsi="Arial" w:cs="Arial"/>
          <w:szCs w:val="24"/>
        </w:rPr>
      </w:pPr>
    </w:p>
    <w:p w:rsidR="004144F8" w:rsidRPr="00D57AC4" w:rsidRDefault="004144F8" w:rsidP="005F473E">
      <w:pPr>
        <w:rPr>
          <w:rFonts w:ascii="Arial" w:hAnsi="Arial" w:cs="Arial"/>
          <w:szCs w:val="24"/>
        </w:rPr>
      </w:pPr>
    </w:p>
    <w:p w:rsidR="00534820" w:rsidRPr="00D57AC4" w:rsidRDefault="00534820" w:rsidP="004144F8">
      <w:pPr>
        <w:jc w:val="both"/>
        <w:rPr>
          <w:rFonts w:ascii="Arial" w:hAnsi="Arial" w:cs="Arial"/>
          <w:szCs w:val="24"/>
        </w:rPr>
      </w:pPr>
    </w:p>
    <w:sectPr w:rsidR="00534820" w:rsidRPr="00D57AC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D8B" w:rsidRDefault="00511D8B">
      <w:r>
        <w:separator/>
      </w:r>
    </w:p>
  </w:endnote>
  <w:endnote w:type="continuationSeparator" w:id="0">
    <w:p w:rsidR="00511D8B" w:rsidRDefault="0051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D8B" w:rsidRDefault="00511D8B">
      <w:r>
        <w:separator/>
      </w:r>
    </w:p>
  </w:footnote>
  <w:footnote w:type="continuationSeparator" w:id="0">
    <w:p w:rsidR="00511D8B" w:rsidRDefault="00511D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561"/>
    <w:multiLevelType w:val="hybridMultilevel"/>
    <w:tmpl w:val="93A00A36"/>
    <w:lvl w:ilvl="0" w:tplc="26EEE218">
      <w:start w:val="1"/>
      <w:numFmt w:val="lowerRoman"/>
      <w:lvlText w:val="%1."/>
      <w:lvlJc w:val="left"/>
      <w:pPr>
        <w:tabs>
          <w:tab w:val="num" w:pos="502"/>
        </w:tabs>
        <w:ind w:left="502" w:hanging="360"/>
      </w:pPr>
      <w:rPr>
        <w:rFonts w:hint="default"/>
        <w:b w:val="0"/>
      </w:rPr>
    </w:lvl>
    <w:lvl w:ilvl="1" w:tplc="08090019">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
    <w:nsid w:val="3D0E1243"/>
    <w:multiLevelType w:val="hybridMultilevel"/>
    <w:tmpl w:val="77EAD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8F0DD9"/>
    <w:multiLevelType w:val="hybridMultilevel"/>
    <w:tmpl w:val="F0A8F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92449F6"/>
    <w:multiLevelType w:val="multilevel"/>
    <w:tmpl w:val="2A60EEC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16"/>
    <w:rsid w:val="00010706"/>
    <w:rsid w:val="000374E2"/>
    <w:rsid w:val="00042484"/>
    <w:rsid w:val="00045C10"/>
    <w:rsid w:val="00057397"/>
    <w:rsid w:val="00070F37"/>
    <w:rsid w:val="00072254"/>
    <w:rsid w:val="00074036"/>
    <w:rsid w:val="00090C14"/>
    <w:rsid w:val="00091E87"/>
    <w:rsid w:val="00094D57"/>
    <w:rsid w:val="000970C6"/>
    <w:rsid w:val="000A0FB2"/>
    <w:rsid w:val="000A1DCC"/>
    <w:rsid w:val="000A3A8E"/>
    <w:rsid w:val="000A7B6D"/>
    <w:rsid w:val="000B69CE"/>
    <w:rsid w:val="000B6F33"/>
    <w:rsid w:val="000D7659"/>
    <w:rsid w:val="000D799F"/>
    <w:rsid w:val="000E46FF"/>
    <w:rsid w:val="000F139F"/>
    <w:rsid w:val="000F1EB8"/>
    <w:rsid w:val="000F3715"/>
    <w:rsid w:val="000F6BB4"/>
    <w:rsid w:val="0010104C"/>
    <w:rsid w:val="00106668"/>
    <w:rsid w:val="00122018"/>
    <w:rsid w:val="001374B7"/>
    <w:rsid w:val="00162416"/>
    <w:rsid w:val="001714D2"/>
    <w:rsid w:val="00172E86"/>
    <w:rsid w:val="001738B1"/>
    <w:rsid w:val="001A45AF"/>
    <w:rsid w:val="001A4CF7"/>
    <w:rsid w:val="001A548F"/>
    <w:rsid w:val="001B5077"/>
    <w:rsid w:val="001D69E8"/>
    <w:rsid w:val="001F39DF"/>
    <w:rsid w:val="0020128C"/>
    <w:rsid w:val="00210574"/>
    <w:rsid w:val="00211189"/>
    <w:rsid w:val="00213853"/>
    <w:rsid w:val="002239D7"/>
    <w:rsid w:val="00230238"/>
    <w:rsid w:val="002304BF"/>
    <w:rsid w:val="0023291A"/>
    <w:rsid w:val="002333F7"/>
    <w:rsid w:val="00252BA8"/>
    <w:rsid w:val="00262A50"/>
    <w:rsid w:val="002636D9"/>
    <w:rsid w:val="00264EBE"/>
    <w:rsid w:val="00265362"/>
    <w:rsid w:val="002A5EA8"/>
    <w:rsid w:val="002C53BC"/>
    <w:rsid w:val="002C6BF0"/>
    <w:rsid w:val="002F28B8"/>
    <w:rsid w:val="00316ED3"/>
    <w:rsid w:val="00320933"/>
    <w:rsid w:val="003422D9"/>
    <w:rsid w:val="00351C48"/>
    <w:rsid w:val="00362D57"/>
    <w:rsid w:val="00380D28"/>
    <w:rsid w:val="003849FE"/>
    <w:rsid w:val="00387989"/>
    <w:rsid w:val="0039450A"/>
    <w:rsid w:val="003949E7"/>
    <w:rsid w:val="00395FF3"/>
    <w:rsid w:val="003A3A80"/>
    <w:rsid w:val="003A70EE"/>
    <w:rsid w:val="003C622B"/>
    <w:rsid w:val="004144F8"/>
    <w:rsid w:val="00416BFF"/>
    <w:rsid w:val="00434ED8"/>
    <w:rsid w:val="00452273"/>
    <w:rsid w:val="00453AF6"/>
    <w:rsid w:val="00463B5E"/>
    <w:rsid w:val="00466CF8"/>
    <w:rsid w:val="00483847"/>
    <w:rsid w:val="00492D5E"/>
    <w:rsid w:val="004A687F"/>
    <w:rsid w:val="004D5A5C"/>
    <w:rsid w:val="004E2D15"/>
    <w:rsid w:val="00511837"/>
    <w:rsid w:val="00511D8B"/>
    <w:rsid w:val="00514E5F"/>
    <w:rsid w:val="0051567B"/>
    <w:rsid w:val="00515CB8"/>
    <w:rsid w:val="00515CF3"/>
    <w:rsid w:val="00520574"/>
    <w:rsid w:val="0052622C"/>
    <w:rsid w:val="00534820"/>
    <w:rsid w:val="00541C01"/>
    <w:rsid w:val="00551E30"/>
    <w:rsid w:val="005677A6"/>
    <w:rsid w:val="00572E9C"/>
    <w:rsid w:val="00584462"/>
    <w:rsid w:val="00590A1C"/>
    <w:rsid w:val="005A590D"/>
    <w:rsid w:val="005B1B69"/>
    <w:rsid w:val="005B3EDA"/>
    <w:rsid w:val="005E0C95"/>
    <w:rsid w:val="005E23D5"/>
    <w:rsid w:val="005E47A0"/>
    <w:rsid w:val="005F473E"/>
    <w:rsid w:val="005F4A12"/>
    <w:rsid w:val="005F5BA7"/>
    <w:rsid w:val="00620DB9"/>
    <w:rsid w:val="00646D49"/>
    <w:rsid w:val="0065074C"/>
    <w:rsid w:val="00655EA0"/>
    <w:rsid w:val="006632C5"/>
    <w:rsid w:val="006740DA"/>
    <w:rsid w:val="006776B1"/>
    <w:rsid w:val="006959E3"/>
    <w:rsid w:val="006A1DD9"/>
    <w:rsid w:val="006A3D95"/>
    <w:rsid w:val="006A580F"/>
    <w:rsid w:val="006B2627"/>
    <w:rsid w:val="006D1B8E"/>
    <w:rsid w:val="006E1FE2"/>
    <w:rsid w:val="006E7919"/>
    <w:rsid w:val="00712C01"/>
    <w:rsid w:val="00714186"/>
    <w:rsid w:val="007169E3"/>
    <w:rsid w:val="00716EB8"/>
    <w:rsid w:val="007214D1"/>
    <w:rsid w:val="00727BF3"/>
    <w:rsid w:val="00736672"/>
    <w:rsid w:val="00752AC6"/>
    <w:rsid w:val="00754BB0"/>
    <w:rsid w:val="007652C5"/>
    <w:rsid w:val="00771284"/>
    <w:rsid w:val="007719E8"/>
    <w:rsid w:val="00791F74"/>
    <w:rsid w:val="007A6389"/>
    <w:rsid w:val="007E334B"/>
    <w:rsid w:val="00806992"/>
    <w:rsid w:val="008263FC"/>
    <w:rsid w:val="008563C9"/>
    <w:rsid w:val="00857479"/>
    <w:rsid w:val="0085748E"/>
    <w:rsid w:val="0087179D"/>
    <w:rsid w:val="008A5737"/>
    <w:rsid w:val="008C3DD2"/>
    <w:rsid w:val="00900371"/>
    <w:rsid w:val="009066CF"/>
    <w:rsid w:val="00906E6D"/>
    <w:rsid w:val="009107FF"/>
    <w:rsid w:val="0092425B"/>
    <w:rsid w:val="00931916"/>
    <w:rsid w:val="00965217"/>
    <w:rsid w:val="00973560"/>
    <w:rsid w:val="0098440C"/>
    <w:rsid w:val="009A68A1"/>
    <w:rsid w:val="00A04824"/>
    <w:rsid w:val="00A20859"/>
    <w:rsid w:val="00A22687"/>
    <w:rsid w:val="00A23472"/>
    <w:rsid w:val="00A426E1"/>
    <w:rsid w:val="00A519E6"/>
    <w:rsid w:val="00A5574B"/>
    <w:rsid w:val="00A87167"/>
    <w:rsid w:val="00A95CAA"/>
    <w:rsid w:val="00AC55B3"/>
    <w:rsid w:val="00AD2C33"/>
    <w:rsid w:val="00AE0B0A"/>
    <w:rsid w:val="00B26D47"/>
    <w:rsid w:val="00B4511E"/>
    <w:rsid w:val="00B573C7"/>
    <w:rsid w:val="00B61B92"/>
    <w:rsid w:val="00B64186"/>
    <w:rsid w:val="00B64CEE"/>
    <w:rsid w:val="00B65138"/>
    <w:rsid w:val="00B80407"/>
    <w:rsid w:val="00B84435"/>
    <w:rsid w:val="00B9660A"/>
    <w:rsid w:val="00BA49CE"/>
    <w:rsid w:val="00BD06DB"/>
    <w:rsid w:val="00BD7125"/>
    <w:rsid w:val="00BF3BA5"/>
    <w:rsid w:val="00C03AF8"/>
    <w:rsid w:val="00C05BEC"/>
    <w:rsid w:val="00C1779D"/>
    <w:rsid w:val="00C55732"/>
    <w:rsid w:val="00C70CF2"/>
    <w:rsid w:val="00C829C4"/>
    <w:rsid w:val="00CA7312"/>
    <w:rsid w:val="00CC49B6"/>
    <w:rsid w:val="00D261EE"/>
    <w:rsid w:val="00D34AC9"/>
    <w:rsid w:val="00D5190E"/>
    <w:rsid w:val="00D57AC4"/>
    <w:rsid w:val="00D60DAB"/>
    <w:rsid w:val="00D74554"/>
    <w:rsid w:val="00D82D5C"/>
    <w:rsid w:val="00D934BB"/>
    <w:rsid w:val="00DB4C77"/>
    <w:rsid w:val="00DB6AA0"/>
    <w:rsid w:val="00DD2BF7"/>
    <w:rsid w:val="00DF48CA"/>
    <w:rsid w:val="00E03348"/>
    <w:rsid w:val="00E108C2"/>
    <w:rsid w:val="00E12383"/>
    <w:rsid w:val="00E20E93"/>
    <w:rsid w:val="00E27A67"/>
    <w:rsid w:val="00E31F95"/>
    <w:rsid w:val="00E37C8A"/>
    <w:rsid w:val="00E7647B"/>
    <w:rsid w:val="00E8471D"/>
    <w:rsid w:val="00E84B4F"/>
    <w:rsid w:val="00E938F4"/>
    <w:rsid w:val="00EA2772"/>
    <w:rsid w:val="00EA3771"/>
    <w:rsid w:val="00EB3B9F"/>
    <w:rsid w:val="00F14DCD"/>
    <w:rsid w:val="00F55FD2"/>
    <w:rsid w:val="00F62D88"/>
    <w:rsid w:val="00F71AC8"/>
    <w:rsid w:val="00F773AF"/>
    <w:rsid w:val="00F82521"/>
    <w:rsid w:val="00F978F3"/>
    <w:rsid w:val="00FC11F9"/>
    <w:rsid w:val="00FD277D"/>
    <w:rsid w:val="00FF7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table" w:styleId="TableGrid">
    <w:name w:val="Table Grid"/>
    <w:basedOn w:val="TableNormal"/>
    <w:uiPriority w:val="59"/>
    <w:rsid w:val="00B8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3C7"/>
    <w:rPr>
      <w:rFonts w:ascii="Tahoma" w:hAnsi="Tahoma" w:cs="Tahoma"/>
      <w:sz w:val="16"/>
      <w:szCs w:val="16"/>
    </w:rPr>
  </w:style>
  <w:style w:type="character" w:customStyle="1" w:styleId="BalloonTextChar">
    <w:name w:val="Balloon Text Char"/>
    <w:basedOn w:val="DefaultParagraphFont"/>
    <w:link w:val="BalloonText"/>
    <w:uiPriority w:val="99"/>
    <w:semiHidden/>
    <w:rsid w:val="00B573C7"/>
    <w:rPr>
      <w:rFonts w:ascii="Tahoma" w:hAnsi="Tahoma" w:cs="Tahoma"/>
      <w:sz w:val="16"/>
      <w:szCs w:val="16"/>
    </w:rPr>
  </w:style>
  <w:style w:type="character" w:styleId="CommentReference">
    <w:name w:val="annotation reference"/>
    <w:basedOn w:val="DefaultParagraphFont"/>
    <w:uiPriority w:val="99"/>
    <w:semiHidden/>
    <w:unhideWhenUsed/>
    <w:rsid w:val="00752AC6"/>
    <w:rPr>
      <w:sz w:val="16"/>
      <w:szCs w:val="16"/>
    </w:rPr>
  </w:style>
  <w:style w:type="paragraph" w:styleId="CommentText">
    <w:name w:val="annotation text"/>
    <w:basedOn w:val="Normal"/>
    <w:link w:val="CommentTextChar"/>
    <w:uiPriority w:val="99"/>
    <w:semiHidden/>
    <w:unhideWhenUsed/>
    <w:rsid w:val="00752AC6"/>
    <w:rPr>
      <w:sz w:val="20"/>
    </w:rPr>
  </w:style>
  <w:style w:type="character" w:customStyle="1" w:styleId="CommentTextChar">
    <w:name w:val="Comment Text Char"/>
    <w:basedOn w:val="DefaultParagraphFont"/>
    <w:link w:val="CommentText"/>
    <w:uiPriority w:val="99"/>
    <w:semiHidden/>
    <w:rsid w:val="00752AC6"/>
  </w:style>
  <w:style w:type="paragraph" w:styleId="CommentSubject">
    <w:name w:val="annotation subject"/>
    <w:basedOn w:val="CommentText"/>
    <w:next w:val="CommentText"/>
    <w:link w:val="CommentSubjectChar"/>
    <w:uiPriority w:val="99"/>
    <w:semiHidden/>
    <w:unhideWhenUsed/>
    <w:rsid w:val="00752AC6"/>
    <w:rPr>
      <w:b/>
      <w:bCs/>
    </w:rPr>
  </w:style>
  <w:style w:type="character" w:customStyle="1" w:styleId="CommentSubjectChar">
    <w:name w:val="Comment Subject Char"/>
    <w:basedOn w:val="CommentTextChar"/>
    <w:link w:val="CommentSubject"/>
    <w:uiPriority w:val="99"/>
    <w:semiHidden/>
    <w:rsid w:val="00752AC6"/>
    <w:rPr>
      <w:b/>
      <w:bCs/>
    </w:rPr>
  </w:style>
  <w:style w:type="paragraph" w:styleId="ListParagraph">
    <w:name w:val="List Paragraph"/>
    <w:basedOn w:val="Normal"/>
    <w:uiPriority w:val="34"/>
    <w:qFormat/>
    <w:rsid w:val="00D934BB"/>
    <w:pPr>
      <w:ind w:left="720"/>
      <w:contextualSpacing/>
    </w:pPr>
  </w:style>
  <w:style w:type="character" w:customStyle="1" w:styleId="HeaderChar">
    <w:name w:val="Header Char"/>
    <w:basedOn w:val="DefaultParagraphFont"/>
    <w:link w:val="Header"/>
    <w:uiPriority w:val="99"/>
    <w:rsid w:val="005B1B6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link w:val="HeaderChar"/>
    <w:uiPriority w:val="99"/>
    <w:rsid w:val="0039450A"/>
    <w:pPr>
      <w:tabs>
        <w:tab w:val="center" w:pos="4153"/>
        <w:tab w:val="right" w:pos="8306"/>
      </w:tabs>
    </w:pPr>
  </w:style>
  <w:style w:type="table" w:styleId="TableGrid">
    <w:name w:val="Table Grid"/>
    <w:basedOn w:val="TableNormal"/>
    <w:uiPriority w:val="59"/>
    <w:rsid w:val="00B804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3C7"/>
    <w:rPr>
      <w:rFonts w:ascii="Tahoma" w:hAnsi="Tahoma" w:cs="Tahoma"/>
      <w:sz w:val="16"/>
      <w:szCs w:val="16"/>
    </w:rPr>
  </w:style>
  <w:style w:type="character" w:customStyle="1" w:styleId="BalloonTextChar">
    <w:name w:val="Balloon Text Char"/>
    <w:basedOn w:val="DefaultParagraphFont"/>
    <w:link w:val="BalloonText"/>
    <w:uiPriority w:val="99"/>
    <w:semiHidden/>
    <w:rsid w:val="00B573C7"/>
    <w:rPr>
      <w:rFonts w:ascii="Tahoma" w:hAnsi="Tahoma" w:cs="Tahoma"/>
      <w:sz w:val="16"/>
      <w:szCs w:val="16"/>
    </w:rPr>
  </w:style>
  <w:style w:type="character" w:styleId="CommentReference">
    <w:name w:val="annotation reference"/>
    <w:basedOn w:val="DefaultParagraphFont"/>
    <w:uiPriority w:val="99"/>
    <w:semiHidden/>
    <w:unhideWhenUsed/>
    <w:rsid w:val="00752AC6"/>
    <w:rPr>
      <w:sz w:val="16"/>
      <w:szCs w:val="16"/>
    </w:rPr>
  </w:style>
  <w:style w:type="paragraph" w:styleId="CommentText">
    <w:name w:val="annotation text"/>
    <w:basedOn w:val="Normal"/>
    <w:link w:val="CommentTextChar"/>
    <w:uiPriority w:val="99"/>
    <w:semiHidden/>
    <w:unhideWhenUsed/>
    <w:rsid w:val="00752AC6"/>
    <w:rPr>
      <w:sz w:val="20"/>
    </w:rPr>
  </w:style>
  <w:style w:type="character" w:customStyle="1" w:styleId="CommentTextChar">
    <w:name w:val="Comment Text Char"/>
    <w:basedOn w:val="DefaultParagraphFont"/>
    <w:link w:val="CommentText"/>
    <w:uiPriority w:val="99"/>
    <w:semiHidden/>
    <w:rsid w:val="00752AC6"/>
  </w:style>
  <w:style w:type="paragraph" w:styleId="CommentSubject">
    <w:name w:val="annotation subject"/>
    <w:basedOn w:val="CommentText"/>
    <w:next w:val="CommentText"/>
    <w:link w:val="CommentSubjectChar"/>
    <w:uiPriority w:val="99"/>
    <w:semiHidden/>
    <w:unhideWhenUsed/>
    <w:rsid w:val="00752AC6"/>
    <w:rPr>
      <w:b/>
      <w:bCs/>
    </w:rPr>
  </w:style>
  <w:style w:type="character" w:customStyle="1" w:styleId="CommentSubjectChar">
    <w:name w:val="Comment Subject Char"/>
    <w:basedOn w:val="CommentTextChar"/>
    <w:link w:val="CommentSubject"/>
    <w:uiPriority w:val="99"/>
    <w:semiHidden/>
    <w:rsid w:val="00752AC6"/>
    <w:rPr>
      <w:b/>
      <w:bCs/>
    </w:rPr>
  </w:style>
  <w:style w:type="paragraph" w:styleId="ListParagraph">
    <w:name w:val="List Paragraph"/>
    <w:basedOn w:val="Normal"/>
    <w:uiPriority w:val="34"/>
    <w:qFormat/>
    <w:rsid w:val="00D934BB"/>
    <w:pPr>
      <w:ind w:left="720"/>
      <w:contextualSpacing/>
    </w:pPr>
  </w:style>
  <w:style w:type="character" w:customStyle="1" w:styleId="HeaderChar">
    <w:name w:val="Header Char"/>
    <w:basedOn w:val="DefaultParagraphFont"/>
    <w:link w:val="Header"/>
    <w:uiPriority w:val="99"/>
    <w:rsid w:val="005B1B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5226">
      <w:bodyDiv w:val="1"/>
      <w:marLeft w:val="0"/>
      <w:marRight w:val="0"/>
      <w:marTop w:val="0"/>
      <w:marBottom w:val="0"/>
      <w:divBdr>
        <w:top w:val="none" w:sz="0" w:space="0" w:color="auto"/>
        <w:left w:val="none" w:sz="0" w:space="0" w:color="auto"/>
        <w:bottom w:val="none" w:sz="0" w:space="0" w:color="auto"/>
        <w:right w:val="none" w:sz="0" w:space="0" w:color="auto"/>
      </w:divBdr>
    </w:div>
    <w:div w:id="289938927">
      <w:bodyDiv w:val="1"/>
      <w:marLeft w:val="0"/>
      <w:marRight w:val="0"/>
      <w:marTop w:val="0"/>
      <w:marBottom w:val="0"/>
      <w:divBdr>
        <w:top w:val="none" w:sz="0" w:space="0" w:color="auto"/>
        <w:left w:val="none" w:sz="0" w:space="0" w:color="auto"/>
        <w:bottom w:val="none" w:sz="0" w:space="0" w:color="auto"/>
        <w:right w:val="none" w:sz="0" w:space="0" w:color="auto"/>
      </w:divBdr>
    </w:div>
    <w:div w:id="315109415">
      <w:bodyDiv w:val="1"/>
      <w:marLeft w:val="0"/>
      <w:marRight w:val="0"/>
      <w:marTop w:val="0"/>
      <w:marBottom w:val="0"/>
      <w:divBdr>
        <w:top w:val="none" w:sz="0" w:space="0" w:color="auto"/>
        <w:left w:val="none" w:sz="0" w:space="0" w:color="auto"/>
        <w:bottom w:val="none" w:sz="0" w:space="0" w:color="auto"/>
        <w:right w:val="none" w:sz="0" w:space="0" w:color="auto"/>
      </w:divBdr>
    </w:div>
    <w:div w:id="370304542">
      <w:bodyDiv w:val="1"/>
      <w:marLeft w:val="0"/>
      <w:marRight w:val="0"/>
      <w:marTop w:val="0"/>
      <w:marBottom w:val="0"/>
      <w:divBdr>
        <w:top w:val="none" w:sz="0" w:space="0" w:color="auto"/>
        <w:left w:val="none" w:sz="0" w:space="0" w:color="auto"/>
        <w:bottom w:val="none" w:sz="0" w:space="0" w:color="auto"/>
        <w:right w:val="none" w:sz="0" w:space="0" w:color="auto"/>
      </w:divBdr>
    </w:div>
    <w:div w:id="382603170">
      <w:bodyDiv w:val="1"/>
      <w:marLeft w:val="0"/>
      <w:marRight w:val="0"/>
      <w:marTop w:val="0"/>
      <w:marBottom w:val="0"/>
      <w:divBdr>
        <w:top w:val="none" w:sz="0" w:space="0" w:color="auto"/>
        <w:left w:val="none" w:sz="0" w:space="0" w:color="auto"/>
        <w:bottom w:val="none" w:sz="0" w:space="0" w:color="auto"/>
        <w:right w:val="none" w:sz="0" w:space="0" w:color="auto"/>
      </w:divBdr>
    </w:div>
    <w:div w:id="495657648">
      <w:bodyDiv w:val="1"/>
      <w:marLeft w:val="0"/>
      <w:marRight w:val="0"/>
      <w:marTop w:val="0"/>
      <w:marBottom w:val="0"/>
      <w:divBdr>
        <w:top w:val="none" w:sz="0" w:space="0" w:color="auto"/>
        <w:left w:val="none" w:sz="0" w:space="0" w:color="auto"/>
        <w:bottom w:val="none" w:sz="0" w:space="0" w:color="auto"/>
        <w:right w:val="none" w:sz="0" w:space="0" w:color="auto"/>
      </w:divBdr>
    </w:div>
    <w:div w:id="552959521">
      <w:bodyDiv w:val="1"/>
      <w:marLeft w:val="0"/>
      <w:marRight w:val="0"/>
      <w:marTop w:val="0"/>
      <w:marBottom w:val="0"/>
      <w:divBdr>
        <w:top w:val="none" w:sz="0" w:space="0" w:color="auto"/>
        <w:left w:val="none" w:sz="0" w:space="0" w:color="auto"/>
        <w:bottom w:val="none" w:sz="0" w:space="0" w:color="auto"/>
        <w:right w:val="none" w:sz="0" w:space="0" w:color="auto"/>
      </w:divBdr>
    </w:div>
    <w:div w:id="579369504">
      <w:bodyDiv w:val="1"/>
      <w:marLeft w:val="0"/>
      <w:marRight w:val="0"/>
      <w:marTop w:val="0"/>
      <w:marBottom w:val="0"/>
      <w:divBdr>
        <w:top w:val="none" w:sz="0" w:space="0" w:color="auto"/>
        <w:left w:val="none" w:sz="0" w:space="0" w:color="auto"/>
        <w:bottom w:val="none" w:sz="0" w:space="0" w:color="auto"/>
        <w:right w:val="none" w:sz="0" w:space="0" w:color="auto"/>
      </w:divBdr>
    </w:div>
    <w:div w:id="620722594">
      <w:bodyDiv w:val="1"/>
      <w:marLeft w:val="0"/>
      <w:marRight w:val="0"/>
      <w:marTop w:val="0"/>
      <w:marBottom w:val="0"/>
      <w:divBdr>
        <w:top w:val="none" w:sz="0" w:space="0" w:color="auto"/>
        <w:left w:val="none" w:sz="0" w:space="0" w:color="auto"/>
        <w:bottom w:val="none" w:sz="0" w:space="0" w:color="auto"/>
        <w:right w:val="none" w:sz="0" w:space="0" w:color="auto"/>
      </w:divBdr>
    </w:div>
    <w:div w:id="682122957">
      <w:bodyDiv w:val="1"/>
      <w:marLeft w:val="0"/>
      <w:marRight w:val="0"/>
      <w:marTop w:val="0"/>
      <w:marBottom w:val="0"/>
      <w:divBdr>
        <w:top w:val="none" w:sz="0" w:space="0" w:color="auto"/>
        <w:left w:val="none" w:sz="0" w:space="0" w:color="auto"/>
        <w:bottom w:val="none" w:sz="0" w:space="0" w:color="auto"/>
        <w:right w:val="none" w:sz="0" w:space="0" w:color="auto"/>
      </w:divBdr>
    </w:div>
    <w:div w:id="731806418">
      <w:bodyDiv w:val="1"/>
      <w:marLeft w:val="0"/>
      <w:marRight w:val="0"/>
      <w:marTop w:val="0"/>
      <w:marBottom w:val="0"/>
      <w:divBdr>
        <w:top w:val="none" w:sz="0" w:space="0" w:color="auto"/>
        <w:left w:val="none" w:sz="0" w:space="0" w:color="auto"/>
        <w:bottom w:val="none" w:sz="0" w:space="0" w:color="auto"/>
        <w:right w:val="none" w:sz="0" w:space="0" w:color="auto"/>
      </w:divBdr>
    </w:div>
    <w:div w:id="960455070">
      <w:bodyDiv w:val="1"/>
      <w:marLeft w:val="0"/>
      <w:marRight w:val="0"/>
      <w:marTop w:val="0"/>
      <w:marBottom w:val="0"/>
      <w:divBdr>
        <w:top w:val="none" w:sz="0" w:space="0" w:color="auto"/>
        <w:left w:val="none" w:sz="0" w:space="0" w:color="auto"/>
        <w:bottom w:val="none" w:sz="0" w:space="0" w:color="auto"/>
        <w:right w:val="none" w:sz="0" w:space="0" w:color="auto"/>
      </w:divBdr>
    </w:div>
    <w:div w:id="1016229595">
      <w:bodyDiv w:val="1"/>
      <w:marLeft w:val="0"/>
      <w:marRight w:val="0"/>
      <w:marTop w:val="0"/>
      <w:marBottom w:val="0"/>
      <w:divBdr>
        <w:top w:val="none" w:sz="0" w:space="0" w:color="auto"/>
        <w:left w:val="none" w:sz="0" w:space="0" w:color="auto"/>
        <w:bottom w:val="none" w:sz="0" w:space="0" w:color="auto"/>
        <w:right w:val="none" w:sz="0" w:space="0" w:color="auto"/>
      </w:divBdr>
    </w:div>
    <w:div w:id="1035348777">
      <w:bodyDiv w:val="1"/>
      <w:marLeft w:val="0"/>
      <w:marRight w:val="0"/>
      <w:marTop w:val="0"/>
      <w:marBottom w:val="0"/>
      <w:divBdr>
        <w:top w:val="none" w:sz="0" w:space="0" w:color="auto"/>
        <w:left w:val="none" w:sz="0" w:space="0" w:color="auto"/>
        <w:bottom w:val="none" w:sz="0" w:space="0" w:color="auto"/>
        <w:right w:val="none" w:sz="0" w:space="0" w:color="auto"/>
      </w:divBdr>
    </w:div>
    <w:div w:id="1068041003">
      <w:bodyDiv w:val="1"/>
      <w:marLeft w:val="0"/>
      <w:marRight w:val="0"/>
      <w:marTop w:val="0"/>
      <w:marBottom w:val="0"/>
      <w:divBdr>
        <w:top w:val="none" w:sz="0" w:space="0" w:color="auto"/>
        <w:left w:val="none" w:sz="0" w:space="0" w:color="auto"/>
        <w:bottom w:val="none" w:sz="0" w:space="0" w:color="auto"/>
        <w:right w:val="none" w:sz="0" w:space="0" w:color="auto"/>
      </w:divBdr>
    </w:div>
    <w:div w:id="1276016746">
      <w:bodyDiv w:val="1"/>
      <w:marLeft w:val="0"/>
      <w:marRight w:val="0"/>
      <w:marTop w:val="0"/>
      <w:marBottom w:val="0"/>
      <w:divBdr>
        <w:top w:val="none" w:sz="0" w:space="0" w:color="auto"/>
        <w:left w:val="none" w:sz="0" w:space="0" w:color="auto"/>
        <w:bottom w:val="none" w:sz="0" w:space="0" w:color="auto"/>
        <w:right w:val="none" w:sz="0" w:space="0" w:color="auto"/>
      </w:divBdr>
    </w:div>
    <w:div w:id="1296760870">
      <w:bodyDiv w:val="1"/>
      <w:marLeft w:val="0"/>
      <w:marRight w:val="0"/>
      <w:marTop w:val="0"/>
      <w:marBottom w:val="0"/>
      <w:divBdr>
        <w:top w:val="none" w:sz="0" w:space="0" w:color="auto"/>
        <w:left w:val="none" w:sz="0" w:space="0" w:color="auto"/>
        <w:bottom w:val="none" w:sz="0" w:space="0" w:color="auto"/>
        <w:right w:val="none" w:sz="0" w:space="0" w:color="auto"/>
      </w:divBdr>
    </w:div>
    <w:div w:id="1358461233">
      <w:bodyDiv w:val="1"/>
      <w:marLeft w:val="0"/>
      <w:marRight w:val="0"/>
      <w:marTop w:val="0"/>
      <w:marBottom w:val="0"/>
      <w:divBdr>
        <w:top w:val="none" w:sz="0" w:space="0" w:color="auto"/>
        <w:left w:val="none" w:sz="0" w:space="0" w:color="auto"/>
        <w:bottom w:val="none" w:sz="0" w:space="0" w:color="auto"/>
        <w:right w:val="none" w:sz="0" w:space="0" w:color="auto"/>
      </w:divBdr>
    </w:div>
    <w:div w:id="1378624396">
      <w:bodyDiv w:val="1"/>
      <w:marLeft w:val="0"/>
      <w:marRight w:val="0"/>
      <w:marTop w:val="0"/>
      <w:marBottom w:val="0"/>
      <w:divBdr>
        <w:top w:val="none" w:sz="0" w:space="0" w:color="auto"/>
        <w:left w:val="none" w:sz="0" w:space="0" w:color="auto"/>
        <w:bottom w:val="none" w:sz="0" w:space="0" w:color="auto"/>
        <w:right w:val="none" w:sz="0" w:space="0" w:color="auto"/>
      </w:divBdr>
    </w:div>
    <w:div w:id="1380472319">
      <w:bodyDiv w:val="1"/>
      <w:marLeft w:val="0"/>
      <w:marRight w:val="0"/>
      <w:marTop w:val="0"/>
      <w:marBottom w:val="0"/>
      <w:divBdr>
        <w:top w:val="none" w:sz="0" w:space="0" w:color="auto"/>
        <w:left w:val="none" w:sz="0" w:space="0" w:color="auto"/>
        <w:bottom w:val="none" w:sz="0" w:space="0" w:color="auto"/>
        <w:right w:val="none" w:sz="0" w:space="0" w:color="auto"/>
      </w:divBdr>
    </w:div>
    <w:div w:id="1513837948">
      <w:bodyDiv w:val="1"/>
      <w:marLeft w:val="0"/>
      <w:marRight w:val="0"/>
      <w:marTop w:val="0"/>
      <w:marBottom w:val="0"/>
      <w:divBdr>
        <w:top w:val="none" w:sz="0" w:space="0" w:color="auto"/>
        <w:left w:val="none" w:sz="0" w:space="0" w:color="auto"/>
        <w:bottom w:val="none" w:sz="0" w:space="0" w:color="auto"/>
        <w:right w:val="none" w:sz="0" w:space="0" w:color="auto"/>
      </w:divBdr>
    </w:div>
    <w:div w:id="1926184977">
      <w:bodyDiv w:val="1"/>
      <w:marLeft w:val="0"/>
      <w:marRight w:val="0"/>
      <w:marTop w:val="0"/>
      <w:marBottom w:val="0"/>
      <w:divBdr>
        <w:top w:val="none" w:sz="0" w:space="0" w:color="auto"/>
        <w:left w:val="none" w:sz="0" w:space="0" w:color="auto"/>
        <w:bottom w:val="none" w:sz="0" w:space="0" w:color="auto"/>
        <w:right w:val="none" w:sz="0" w:space="0" w:color="auto"/>
      </w:divBdr>
    </w:div>
    <w:div w:id="1956015949">
      <w:bodyDiv w:val="1"/>
      <w:marLeft w:val="0"/>
      <w:marRight w:val="0"/>
      <w:marTop w:val="0"/>
      <w:marBottom w:val="0"/>
      <w:divBdr>
        <w:top w:val="none" w:sz="0" w:space="0" w:color="auto"/>
        <w:left w:val="none" w:sz="0" w:space="0" w:color="auto"/>
        <w:bottom w:val="none" w:sz="0" w:space="0" w:color="auto"/>
        <w:right w:val="none" w:sz="0" w:space="0" w:color="auto"/>
      </w:divBdr>
    </w:div>
    <w:div w:id="1999532889">
      <w:bodyDiv w:val="1"/>
      <w:marLeft w:val="0"/>
      <w:marRight w:val="0"/>
      <w:marTop w:val="0"/>
      <w:marBottom w:val="0"/>
      <w:divBdr>
        <w:top w:val="none" w:sz="0" w:space="0" w:color="auto"/>
        <w:left w:val="none" w:sz="0" w:space="0" w:color="auto"/>
        <w:bottom w:val="none" w:sz="0" w:space="0" w:color="auto"/>
        <w:right w:val="none" w:sz="0" w:space="0" w:color="auto"/>
      </w:divBdr>
    </w:div>
    <w:div w:id="21100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344C1-5C83-4670-A855-A1FFFA52B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907</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creator>Phil Tomalin</dc:creator>
  <cp:lastModifiedBy>Alison MacArthur</cp:lastModifiedBy>
  <cp:revision>5</cp:revision>
  <cp:lastPrinted>2019-01-18T14:25:00Z</cp:lastPrinted>
  <dcterms:created xsi:type="dcterms:W3CDTF">2019-01-18T14:26:00Z</dcterms:created>
  <dcterms:modified xsi:type="dcterms:W3CDTF">2019-01-21T08:58:00Z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-295698532</vt:i4>
  </property>
  <property fmtid="{D5CDD505-2E9C-101B-9397-08002B2CF9AE}" pid="3" name="_NewReviewCycle">
    <vt:lpwstr/>
  </property>
  <property fmtid="{D5CDD505-2E9C-101B-9397-08002B2CF9AE}" pid="4" name="_EmailSubject">
    <vt:lpwstr>ROSS AND CROMARTY COMMITTEE - COMMON GOOD REPORTS</vt:lpwstr>
  </property>
  <property fmtid="{D5CDD505-2E9C-101B-9397-08002B2CF9AE}" pid="5" name="_AuthorEmail">
    <vt:lpwstr>Diane.Agnew@highland.gov.uk</vt:lpwstr>
  </property>
  <property fmtid="{D5CDD505-2E9C-101B-9397-08002B2CF9AE}" pid="6" name="_AuthorEmailDisplayName">
    <vt:lpwstr>Diane Agnew</vt:lpwstr>
  </property>
  <property fmtid="{D5CDD505-2E9C-101B-9397-08002B2CF9AE}" pid="7" name="_PreviousAdHocReviewCycleID">
    <vt:i4>-1350520566</vt:i4>
  </property>
  <property fmtid="{D5CDD505-2E9C-101B-9397-08002B2CF9AE}" pid="8" name="_ReviewingToolsShownOnce">
    <vt:lpwstr/>
  </property>
</Properties>
</file>