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6B4E" w14:textId="77777777" w:rsidR="00DB4C38" w:rsidRPr="00DB4C38" w:rsidRDefault="00DB4C38" w:rsidP="00477A42">
      <w:pPr>
        <w:pStyle w:val="Heading1"/>
        <w:rPr>
          <w:rFonts w:eastAsia="Calibri"/>
        </w:rPr>
      </w:pPr>
    </w:p>
    <w:p w14:paraId="4F4B698D" w14:textId="342F3189" w:rsidR="00DB4C38" w:rsidRPr="00477A42" w:rsidRDefault="00477A42" w:rsidP="00477A42">
      <w:pPr>
        <w:pStyle w:val="Heading1"/>
        <w:rPr>
          <w:rFonts w:eastAsia="Calibri"/>
          <w:sz w:val="28"/>
          <w:szCs w:val="28"/>
        </w:rPr>
      </w:pPr>
      <w:r w:rsidRPr="00477A42">
        <w:rPr>
          <w:rFonts w:eastAsia="Calibri"/>
          <w:sz w:val="28"/>
          <w:szCs w:val="28"/>
        </w:rPr>
        <w:t>Invergordon Common Good</w:t>
      </w:r>
    </w:p>
    <w:p w14:paraId="4329B3EF" w14:textId="7C65BBEB" w:rsidR="00FA5F4B" w:rsidRPr="00477A42" w:rsidRDefault="00477A42" w:rsidP="00477A42">
      <w:pPr>
        <w:pStyle w:val="Heading1"/>
        <w:rPr>
          <w:rFonts w:eastAsia="Calibri"/>
          <w:sz w:val="28"/>
          <w:szCs w:val="28"/>
        </w:rPr>
      </w:pPr>
      <w:r w:rsidRPr="00477A42">
        <w:rPr>
          <w:rFonts w:eastAsia="Calibri"/>
          <w:sz w:val="28"/>
          <w:szCs w:val="28"/>
        </w:rPr>
        <w:t xml:space="preserve">Consultation on the proposal to dispose, by sale, of the bust of </w:t>
      </w:r>
    </w:p>
    <w:p w14:paraId="45A36BA9" w14:textId="185FAC76" w:rsidR="00DB4C38" w:rsidRPr="00477A42" w:rsidRDefault="00477A42" w:rsidP="00477A42">
      <w:pPr>
        <w:pStyle w:val="Heading1"/>
        <w:rPr>
          <w:rFonts w:eastAsia="Calibri"/>
          <w:sz w:val="28"/>
          <w:szCs w:val="28"/>
        </w:rPr>
      </w:pPr>
      <w:r w:rsidRPr="00477A42">
        <w:rPr>
          <w:rFonts w:eastAsia="Calibri"/>
          <w:sz w:val="28"/>
          <w:szCs w:val="28"/>
        </w:rPr>
        <w:t>Sir John Gordon by Edm</w:t>
      </w:r>
      <w:r w:rsidRPr="00477A42">
        <w:rPr>
          <w:rFonts w:eastAsia="Calibri" w:cs="Calibri"/>
          <w:sz w:val="28"/>
          <w:szCs w:val="28"/>
        </w:rPr>
        <w:t>é Bouchardon</w:t>
      </w:r>
    </w:p>
    <w:p w14:paraId="2966027F" w14:textId="4935903B" w:rsidR="00DB4C38" w:rsidRPr="00DB4C38" w:rsidRDefault="00477A42" w:rsidP="00477A42">
      <w:pPr>
        <w:pStyle w:val="Heading2"/>
        <w:jc w:val="center"/>
        <w:rPr>
          <w:rFonts w:eastAsia="Calibri"/>
        </w:rPr>
      </w:pPr>
      <w:r w:rsidRPr="00DB4C38">
        <w:rPr>
          <w:rFonts w:eastAsia="Calibri"/>
        </w:rPr>
        <w:t>Decision</w:t>
      </w:r>
    </w:p>
    <w:p w14:paraId="497A7C48" w14:textId="759F0A65" w:rsidR="00DB4C38" w:rsidRPr="00DB4C38" w:rsidRDefault="00DB4C38" w:rsidP="00DB4C38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DB4C38">
        <w:rPr>
          <w:rFonts w:ascii="Calibri" w:eastAsia="Calibri" w:hAnsi="Calibri" w:cs="Times New Roman"/>
          <w:bCs/>
          <w:kern w:val="0"/>
          <w14:ligatures w14:val="none"/>
        </w:rPr>
        <w:t xml:space="preserve">On </w:t>
      </w:r>
      <w:r w:rsidR="00B30E54">
        <w:rPr>
          <w:rFonts w:ascii="Calibri" w:eastAsia="Calibri" w:hAnsi="Calibri" w:cs="Times New Roman"/>
          <w:bCs/>
          <w:kern w:val="0"/>
          <w14:ligatures w14:val="none"/>
        </w:rPr>
        <w:t>1</w:t>
      </w:r>
      <w:r w:rsidRPr="00DB4C38">
        <w:rPr>
          <w:rFonts w:ascii="Calibri" w:eastAsia="Calibri" w:hAnsi="Calibri" w:cs="Times New Roman"/>
          <w:bCs/>
          <w:kern w:val="0"/>
          <w14:ligatures w14:val="none"/>
        </w:rPr>
        <w:t xml:space="preserve">3 </w:t>
      </w:r>
      <w:r w:rsidR="00B30E54">
        <w:rPr>
          <w:rFonts w:ascii="Calibri" w:eastAsia="Calibri" w:hAnsi="Calibri" w:cs="Times New Roman"/>
          <w:bCs/>
          <w:kern w:val="0"/>
          <w14:ligatures w14:val="none"/>
        </w:rPr>
        <w:t>May</w:t>
      </w:r>
      <w:r w:rsidRPr="00DB4C38">
        <w:rPr>
          <w:rFonts w:ascii="Calibri" w:eastAsia="Calibri" w:hAnsi="Calibri" w:cs="Times New Roman"/>
          <w:bCs/>
          <w:kern w:val="0"/>
          <w14:ligatures w14:val="none"/>
        </w:rPr>
        <w:t xml:space="preserve"> 2024 the B</w:t>
      </w:r>
      <w:r w:rsidR="00B30E54">
        <w:rPr>
          <w:rFonts w:ascii="Calibri" w:eastAsia="Calibri" w:hAnsi="Calibri" w:cs="Times New Roman"/>
          <w:bCs/>
          <w:kern w:val="0"/>
          <w14:ligatures w14:val="none"/>
        </w:rPr>
        <w:t xml:space="preserve">lack Isle and Easter Ross </w:t>
      </w:r>
      <w:r w:rsidRPr="00DB4C38">
        <w:rPr>
          <w:rFonts w:ascii="Calibri" w:eastAsia="Calibri" w:hAnsi="Calibri" w:cs="Times New Roman"/>
          <w:bCs/>
          <w:kern w:val="0"/>
          <w14:ligatures w14:val="none"/>
        </w:rPr>
        <w:t xml:space="preserve">Area Committee considered the outcome of the public consultation conducted pursuant to section 104 Community Empowerment (Scotland) Act 2015 in respect of the  proposal detailed above. </w:t>
      </w:r>
    </w:p>
    <w:p w14:paraId="4A765998" w14:textId="10B7053C" w:rsidR="00B30E54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  <w:r w:rsidRPr="00DB4C38">
        <w:rPr>
          <w:rFonts w:ascii="Calibri" w:eastAsia="Calibri" w:hAnsi="Calibri" w:cs="Times New Roman"/>
          <w:kern w:val="0"/>
          <w14:ligatures w14:val="none"/>
        </w:rPr>
        <w:t>Members considered the analysis of the outcome of the consultation</w:t>
      </w:r>
      <w:r w:rsidR="00B30E54">
        <w:rPr>
          <w:rFonts w:ascii="Calibri" w:eastAsia="Calibri" w:hAnsi="Calibri" w:cs="Times New Roman"/>
          <w:kern w:val="0"/>
          <w14:ligatures w14:val="none"/>
        </w:rPr>
        <w:t>,</w:t>
      </w:r>
      <w:r w:rsidRPr="00DB4C38">
        <w:rPr>
          <w:rFonts w:ascii="Calibri" w:eastAsia="Calibri" w:hAnsi="Calibri" w:cs="Times New Roman"/>
          <w:kern w:val="0"/>
          <w14:ligatures w14:val="none"/>
        </w:rPr>
        <w:t xml:space="preserve"> had regard to all representations received</w:t>
      </w:r>
      <w:r w:rsidR="00B30E54">
        <w:rPr>
          <w:rFonts w:ascii="Calibri" w:eastAsia="Calibri" w:hAnsi="Calibri" w:cs="Times New Roman"/>
          <w:kern w:val="0"/>
          <w14:ligatures w14:val="none"/>
        </w:rPr>
        <w:t xml:space="preserve"> and debated all options fully</w:t>
      </w:r>
      <w:r w:rsidRPr="00DB4C38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B30E54">
        <w:rPr>
          <w:rFonts w:ascii="Calibri" w:eastAsia="Calibri" w:hAnsi="Calibri" w:cs="Times New Roman"/>
          <w:kern w:val="0"/>
          <w14:ligatures w14:val="none"/>
        </w:rPr>
        <w:t xml:space="preserve">Members noted that, as the value of the Bust exceeded 10% of the Invergordon Common Good fund, governance provided that they could make recommendations but that the final decision rested with full Council. </w:t>
      </w:r>
    </w:p>
    <w:p w14:paraId="6AB11E74" w14:textId="282BDFFA" w:rsidR="00DB4C38" w:rsidRDefault="00BA0143" w:rsidP="00BA0143">
      <w:pPr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outcome of the aforementioned Black Isle and Easter Ross Area Committee was as follows:</w:t>
      </w:r>
    </w:p>
    <w:p w14:paraId="73301710" w14:textId="74FAA711" w:rsidR="00BA0143" w:rsidRPr="00BA0143" w:rsidRDefault="00BA0143" w:rsidP="00BA0143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kern w:val="0"/>
          <w14:ligatures w14:val="none"/>
        </w:rPr>
      </w:pPr>
      <w:r>
        <w:t>NOTED the outcome of the consultation process undertaken as contained in the analysis at Appendix 1</w:t>
      </w:r>
      <w:r w:rsidR="00BF5D92">
        <w:t xml:space="preserve"> of the report to Area Committee</w:t>
      </w:r>
      <w:r>
        <w:t xml:space="preserve">; </w:t>
      </w:r>
    </w:p>
    <w:p w14:paraId="0EDC4D1C" w14:textId="2C6FACC8" w:rsidR="00BA0143" w:rsidRPr="00BA0143" w:rsidRDefault="00BA0143" w:rsidP="00BA0143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kern w:val="0"/>
          <w14:ligatures w14:val="none"/>
        </w:rPr>
      </w:pPr>
      <w:r>
        <w:t>APPROVED the responses to the representations received within the consultation period for publication on the Council’s website as contained in the document at Appendix 2</w:t>
      </w:r>
      <w:r w:rsidR="00BF5D92">
        <w:t xml:space="preserve"> of the report to Area Committee</w:t>
      </w:r>
      <w:r>
        <w:t xml:space="preserve">; </w:t>
      </w:r>
    </w:p>
    <w:p w14:paraId="69999DCE" w14:textId="77777777" w:rsidR="00BA0143" w:rsidRPr="00BA0143" w:rsidRDefault="00BA0143" w:rsidP="00BA0143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kern w:val="0"/>
          <w14:ligatures w14:val="none"/>
        </w:rPr>
      </w:pPr>
      <w:r>
        <w:t xml:space="preserve">NOTED consider and balance the representations received together with the responsibilities for the Invergordon Common Good fund; and </w:t>
      </w:r>
    </w:p>
    <w:p w14:paraId="5B99A9E8" w14:textId="77777777" w:rsidR="00BA0143" w:rsidRPr="00BA0143" w:rsidRDefault="00BA0143" w:rsidP="00BA0143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kern w:val="0"/>
          <w14:ligatures w14:val="none"/>
        </w:rPr>
      </w:pPr>
      <w:r>
        <w:t xml:space="preserve">following consideration of the representations received and best interests of the Invergordon Common Good Fund: </w:t>
      </w:r>
    </w:p>
    <w:p w14:paraId="1CC35F3E" w14:textId="031F88CD" w:rsidR="00BA0143" w:rsidRDefault="00BA0143" w:rsidP="00BA0143">
      <w:pPr>
        <w:pStyle w:val="ListParagraph"/>
        <w:numPr>
          <w:ilvl w:val="0"/>
          <w:numId w:val="3"/>
        </w:numPr>
      </w:pPr>
      <w:r>
        <w:t xml:space="preserve">AGREED to recommend to full Council that the proposal to dispose of the bust of Sir John Gordon by sale should go ahead; </w:t>
      </w:r>
    </w:p>
    <w:p w14:paraId="09E54BF6" w14:textId="6CF9941A" w:rsidR="00BA0143" w:rsidRDefault="00BA0143" w:rsidP="00BA0143">
      <w:pPr>
        <w:pStyle w:val="ListParagraph"/>
        <w:numPr>
          <w:ilvl w:val="0"/>
          <w:numId w:val="3"/>
        </w:numPr>
      </w:pPr>
      <w:r>
        <w:t xml:space="preserve">AGREED that the disposal should proceed by way of private sale: </w:t>
      </w:r>
    </w:p>
    <w:p w14:paraId="6F38AD34" w14:textId="68778FAF" w:rsidR="00BA0143" w:rsidRDefault="00BA0143" w:rsidP="00BA0143">
      <w:pPr>
        <w:pStyle w:val="ListParagraph"/>
        <w:numPr>
          <w:ilvl w:val="0"/>
          <w:numId w:val="3"/>
        </w:numPr>
      </w:pPr>
      <w:r>
        <w:t xml:space="preserve">AGREED that a museum quality replica be commissioned; </w:t>
      </w:r>
    </w:p>
    <w:p w14:paraId="020FD144" w14:textId="77777777" w:rsidR="00BA0143" w:rsidRDefault="00BA0143" w:rsidP="00BA0143">
      <w:pPr>
        <w:pStyle w:val="ListParagraph"/>
        <w:numPr>
          <w:ilvl w:val="0"/>
          <w:numId w:val="3"/>
        </w:numPr>
      </w:pPr>
      <w:r>
        <w:t xml:space="preserve">AGREED that, if the bust is re-sold for a sum in excess of the sale price that 20% of the increase will be payable to Invergordon Common Good Fund; and </w:t>
      </w:r>
    </w:p>
    <w:p w14:paraId="3F4BFB24" w14:textId="3C3506AC" w:rsidR="00BA0143" w:rsidRPr="00BA0143" w:rsidRDefault="00BA0143" w:rsidP="00BA0143">
      <w:pPr>
        <w:pStyle w:val="ListParagraph"/>
        <w:numPr>
          <w:ilvl w:val="0"/>
          <w:numId w:val="3"/>
        </w:numPr>
      </w:pPr>
      <w:r>
        <w:t>NOTED that, if approval is recommended, it will be necessary to seek Sheriff Court consent because the bust is considered to be inalienable</w:t>
      </w:r>
    </w:p>
    <w:p w14:paraId="0BB5E3E9" w14:textId="77777777" w:rsidR="00B30E54" w:rsidRPr="00DB4C38" w:rsidRDefault="00B30E54" w:rsidP="00B30E54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FB882BA" w14:textId="291A0CB6" w:rsidR="00DB4C38" w:rsidRPr="00DB4C38" w:rsidRDefault="00DB4C38" w:rsidP="00477A42">
      <w:pPr>
        <w:pStyle w:val="Heading2"/>
        <w:rPr>
          <w:rFonts w:eastAsia="Calibri"/>
        </w:rPr>
      </w:pPr>
      <w:r w:rsidRPr="00DB4C38">
        <w:rPr>
          <w:rFonts w:eastAsia="Calibri"/>
        </w:rPr>
        <w:t>Decision</w:t>
      </w:r>
      <w:r w:rsidR="00BA0143">
        <w:rPr>
          <w:rFonts w:eastAsia="Calibri"/>
        </w:rPr>
        <w:t xml:space="preserve"> of full Council</w:t>
      </w:r>
    </w:p>
    <w:p w14:paraId="447C132E" w14:textId="6CA430FE" w:rsidR="00DB4C38" w:rsidRPr="00DB4C38" w:rsidRDefault="00BA0143" w:rsidP="00DB4C38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outcome and recommendations came before full Council on 27 June 2024 for final decision. The recommendations and a proposed amendment were debated in the Council chamber and a vote was taken. </w:t>
      </w:r>
      <w:r>
        <w:rPr>
          <w:rFonts w:ascii="Calibri" w:eastAsia="Calibri" w:hAnsi="Calibri" w:cs="Times New Roman"/>
          <w:kern w:val="0"/>
          <w14:ligatures w14:val="none"/>
        </w:rPr>
        <w:lastRenderedPageBreak/>
        <w:t xml:space="preserve">The decision of full Council approved the recommendations of </w:t>
      </w:r>
      <w:r w:rsidR="00981752">
        <w:rPr>
          <w:rFonts w:ascii="Calibri" w:eastAsia="Calibri" w:hAnsi="Calibri" w:cs="Times New Roman"/>
          <w:kern w:val="0"/>
          <w14:ligatures w14:val="none"/>
        </w:rPr>
        <w:t>t</w:t>
      </w:r>
      <w:r>
        <w:rPr>
          <w:rFonts w:ascii="Calibri" w:eastAsia="Calibri" w:hAnsi="Calibri" w:cs="Times New Roman"/>
          <w:kern w:val="0"/>
          <w14:ligatures w14:val="none"/>
        </w:rPr>
        <w:t xml:space="preserve">he Black Isle and Easter Ross Area Committee subject to the removal of recommendation iv. d) as it was legally </w:t>
      </w:r>
      <w:r w:rsidR="0056156B">
        <w:rPr>
          <w:rFonts w:ascii="Calibri" w:eastAsia="Calibri" w:hAnsi="Calibri" w:cs="Times New Roman"/>
          <w:kern w:val="0"/>
          <w14:ligatures w14:val="none"/>
        </w:rPr>
        <w:t>u</w:t>
      </w:r>
      <w:r>
        <w:rPr>
          <w:rFonts w:ascii="Calibri" w:eastAsia="Calibri" w:hAnsi="Calibri" w:cs="Times New Roman"/>
          <w:kern w:val="0"/>
          <w14:ligatures w14:val="none"/>
        </w:rPr>
        <w:t>nenforceable.</w:t>
      </w:r>
    </w:p>
    <w:p w14:paraId="66F89DFB" w14:textId="77777777" w:rsidR="00DB4C38" w:rsidRPr="00DB4C38" w:rsidRDefault="00DB4C38" w:rsidP="00DB4C38">
      <w:pPr>
        <w:rPr>
          <w:rFonts w:ascii="Calibri" w:eastAsia="Calibri" w:hAnsi="Calibri" w:cs="Times New Roman"/>
          <w:bCs/>
          <w:kern w:val="0"/>
          <w14:ligatures w14:val="none"/>
        </w:rPr>
      </w:pPr>
    </w:p>
    <w:p w14:paraId="6AD190F4" w14:textId="77777777" w:rsidR="00DB4C38" w:rsidRPr="00DB4C38" w:rsidRDefault="00DB4C38" w:rsidP="00DB4C38">
      <w:pPr>
        <w:tabs>
          <w:tab w:val="left" w:pos="1020"/>
        </w:tabs>
        <w:ind w:left="284"/>
        <w:rPr>
          <w:rFonts w:ascii="Calibri" w:eastAsia="Calibri" w:hAnsi="Calibri" w:cs="Times New Roman"/>
          <w:b/>
          <w:kern w:val="0"/>
          <w14:ligatures w14:val="none"/>
        </w:rPr>
      </w:pPr>
    </w:p>
    <w:p w14:paraId="04B2DAA1" w14:textId="77777777" w:rsidR="00DB4C38" w:rsidRPr="00DB4C38" w:rsidRDefault="00DB4C38" w:rsidP="00DB4C38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5C79FAE0" w14:textId="77777777" w:rsidR="00DB4C38" w:rsidRPr="00DB4C38" w:rsidRDefault="00DB4C38" w:rsidP="00DB4C38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u w:val="single"/>
          <w14:ligatures w14:val="none"/>
        </w:rPr>
      </w:pPr>
    </w:p>
    <w:p w14:paraId="4E9A398B" w14:textId="77777777" w:rsidR="00DB4C38" w:rsidRPr="00DB4C38" w:rsidRDefault="00DB4C38" w:rsidP="00DB4C38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</w:p>
    <w:p w14:paraId="0D9E5EFE" w14:textId="77777777" w:rsidR="00DB4C38" w:rsidRPr="00DB4C38" w:rsidRDefault="00DB4C38" w:rsidP="00DB4C38">
      <w:pPr>
        <w:spacing w:after="200" w:line="276" w:lineRule="auto"/>
        <w:ind w:left="1440"/>
        <w:contextualSpacing/>
        <w:rPr>
          <w:rFonts w:ascii="Calibri" w:eastAsia="Calibri" w:hAnsi="Calibri" w:cs="Times New Roman"/>
          <w:bCs/>
          <w:kern w:val="0"/>
          <w14:ligatures w14:val="none"/>
        </w:rPr>
      </w:pPr>
    </w:p>
    <w:p w14:paraId="0FAEF36B" w14:textId="77777777" w:rsidR="00DB4C38" w:rsidRPr="00DB4C38" w:rsidRDefault="00DB4C38" w:rsidP="00DB4C3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5BD0BBD" w14:textId="77777777" w:rsidR="00DB4C38" w:rsidRPr="00DB4C38" w:rsidRDefault="00DB4C38" w:rsidP="00DB4C3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0783086" w14:textId="77777777" w:rsidR="00DB4C38" w:rsidRPr="00DB4C38" w:rsidRDefault="00DB4C38" w:rsidP="00DB4C3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DEA3682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3D39EB0D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71FB1E2F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49C1EC1B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2F8BAB8A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1C409DE8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75F69FC6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115C6E9C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220C1DEE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45E50356" w14:textId="77777777" w:rsidR="00DB4C38" w:rsidRPr="00DB4C38" w:rsidRDefault="00DB4C38" w:rsidP="00DB4C38">
      <w:pPr>
        <w:rPr>
          <w:rFonts w:ascii="Calibri" w:eastAsia="Calibri" w:hAnsi="Calibri" w:cs="Times New Roman"/>
          <w:kern w:val="0"/>
          <w14:ligatures w14:val="none"/>
        </w:rPr>
      </w:pPr>
    </w:p>
    <w:p w14:paraId="7DBDC5D7" w14:textId="77777777" w:rsidR="00DB4C38" w:rsidRPr="00DB4C38" w:rsidRDefault="00DB4C38" w:rsidP="00DB4C38"/>
    <w:p w14:paraId="60D1A16D" w14:textId="77777777" w:rsidR="004F155C" w:rsidRDefault="004F155C"/>
    <w:sectPr w:rsidR="004F155C" w:rsidSect="00DB4C38">
      <w:headerReference w:type="default" r:id="rId7"/>
      <w:footerReference w:type="default" r:id="rId8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1921" w14:textId="77777777" w:rsidR="00FD2329" w:rsidRDefault="00FD2329">
      <w:pPr>
        <w:spacing w:after="0" w:line="240" w:lineRule="auto"/>
      </w:pPr>
      <w:r>
        <w:separator/>
      </w:r>
    </w:p>
  </w:endnote>
  <w:endnote w:type="continuationSeparator" w:id="0">
    <w:p w14:paraId="560268C7" w14:textId="77777777" w:rsidR="00FD2329" w:rsidRDefault="00FD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EE9B" w14:textId="77777777" w:rsidR="00BA0143" w:rsidRDefault="00BA0143">
    <w:pPr>
      <w:pStyle w:val="Footer"/>
    </w:pPr>
    <w:r>
      <w:t>June 2024</w:t>
    </w:r>
  </w:p>
  <w:p w14:paraId="5B7F9131" w14:textId="77777777" w:rsidR="00BA0143" w:rsidRDefault="00BA0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0CB0" w14:textId="77777777" w:rsidR="00FD2329" w:rsidRDefault="00FD2329">
      <w:pPr>
        <w:spacing w:after="0" w:line="240" w:lineRule="auto"/>
      </w:pPr>
      <w:r>
        <w:separator/>
      </w:r>
    </w:p>
  </w:footnote>
  <w:footnote w:type="continuationSeparator" w:id="0">
    <w:p w14:paraId="5E070845" w14:textId="77777777" w:rsidR="00FD2329" w:rsidRDefault="00FD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D3DF" w14:textId="77777777" w:rsidR="00BA0143" w:rsidRDefault="00BA0143" w:rsidP="000250EE">
    <w:pPr>
      <w:pStyle w:val="Header"/>
      <w:jc w:val="right"/>
    </w:pPr>
    <w:r>
      <w:rPr>
        <w:noProof/>
      </w:rPr>
      <w:drawing>
        <wp:inline distT="0" distB="0" distL="0" distR="0" wp14:anchorId="242AF46F" wp14:editId="1EF01168">
          <wp:extent cx="1409700" cy="7125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55" cy="72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FB24" w14:textId="77777777" w:rsidR="00BA0143" w:rsidRDefault="00BA0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9FE"/>
    <w:multiLevelType w:val="hybridMultilevel"/>
    <w:tmpl w:val="AC64FE4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1F6BDF"/>
    <w:multiLevelType w:val="hybridMultilevel"/>
    <w:tmpl w:val="19ECFB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E372D"/>
    <w:multiLevelType w:val="hybridMultilevel"/>
    <w:tmpl w:val="E2EC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01928">
    <w:abstractNumId w:val="2"/>
  </w:num>
  <w:num w:numId="2" w16cid:durableId="185607664">
    <w:abstractNumId w:val="1"/>
  </w:num>
  <w:num w:numId="3" w16cid:durableId="168404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38"/>
    <w:rsid w:val="00140445"/>
    <w:rsid w:val="003529AA"/>
    <w:rsid w:val="00477A42"/>
    <w:rsid w:val="004F155C"/>
    <w:rsid w:val="0056156B"/>
    <w:rsid w:val="0067376E"/>
    <w:rsid w:val="007D126D"/>
    <w:rsid w:val="00981752"/>
    <w:rsid w:val="00B30E54"/>
    <w:rsid w:val="00BA0143"/>
    <w:rsid w:val="00BF5D92"/>
    <w:rsid w:val="00DB4C38"/>
    <w:rsid w:val="00EA2D8A"/>
    <w:rsid w:val="00F16170"/>
    <w:rsid w:val="00FA5F4B"/>
    <w:rsid w:val="00FD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3F02"/>
  <w15:chartTrackingRefBased/>
  <w15:docId w15:val="{2104390A-784A-4782-BA30-1F6C28DE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DB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C38"/>
  </w:style>
  <w:style w:type="paragraph" w:styleId="Footer">
    <w:name w:val="footer"/>
    <w:basedOn w:val="Normal"/>
    <w:link w:val="FooterChar"/>
    <w:uiPriority w:val="99"/>
    <w:semiHidden/>
    <w:unhideWhenUsed/>
    <w:rsid w:val="00DB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(Legal and Governance)</dc:creator>
  <cp:keywords/>
  <dc:description/>
  <cp:lastModifiedBy>Ronan Hutchison (Strategic Improvement &amp; Performance)</cp:lastModifiedBy>
  <cp:revision>6</cp:revision>
  <dcterms:created xsi:type="dcterms:W3CDTF">2024-07-08T14:42:00Z</dcterms:created>
  <dcterms:modified xsi:type="dcterms:W3CDTF">2025-07-16T10:34:00Z</dcterms:modified>
</cp:coreProperties>
</file>