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C829C" w14:textId="4FFCC552" w:rsidR="004A7F33" w:rsidRPr="00071AE8" w:rsidRDefault="00BC06EA" w:rsidP="00BC06EA">
      <w:pPr>
        <w:pStyle w:val="Heading1"/>
        <w:jc w:val="center"/>
        <w:rPr>
          <w:rFonts w:eastAsia="Calibri"/>
        </w:rPr>
      </w:pPr>
      <w:r>
        <w:rPr>
          <w:rFonts w:eastAsia="Calibri"/>
        </w:rPr>
        <w:t>Tain</w:t>
      </w:r>
      <w:r w:rsidRPr="00071AE8">
        <w:rPr>
          <w:rFonts w:eastAsia="Calibri"/>
        </w:rPr>
        <w:t xml:space="preserve"> Common Good</w:t>
      </w:r>
    </w:p>
    <w:p w14:paraId="413B93E8" w14:textId="125D5531" w:rsidR="004A7F33" w:rsidRDefault="004A7F33" w:rsidP="00BC06EA">
      <w:pPr>
        <w:pStyle w:val="Heading1"/>
        <w:jc w:val="center"/>
        <w:rPr>
          <w:rFonts w:eastAsia="Calibri"/>
        </w:rPr>
      </w:pPr>
      <w:r w:rsidRPr="00071AE8">
        <w:rPr>
          <w:rFonts w:eastAsia="Calibri"/>
        </w:rPr>
        <w:t>P</w:t>
      </w:r>
      <w:r w:rsidR="00BC06EA" w:rsidRPr="00071AE8">
        <w:rPr>
          <w:rFonts w:eastAsia="Calibri"/>
        </w:rPr>
        <w:t xml:space="preserve">roposal to </w:t>
      </w:r>
      <w:r w:rsidR="00BC06EA">
        <w:rPr>
          <w:rFonts w:eastAsia="Calibri"/>
        </w:rPr>
        <w:t xml:space="preserve">change the use of the Wildlife Pond Kiosk, Tain Links to a cafe providing food and beverages </w:t>
      </w:r>
      <w:r>
        <w:rPr>
          <w:rFonts w:eastAsia="Calibri"/>
        </w:rPr>
        <w:t>(site forms part of Tain Common Good)</w:t>
      </w:r>
    </w:p>
    <w:p w14:paraId="6A2C4E3E" w14:textId="77777777" w:rsidR="00BC06EA" w:rsidRPr="00BC06EA" w:rsidRDefault="00BC06EA" w:rsidP="00BC06EA"/>
    <w:p w14:paraId="25A6013A" w14:textId="4A42E89B" w:rsidR="004A7F33" w:rsidRDefault="00BC06EA" w:rsidP="00BC06EA">
      <w:pPr>
        <w:pStyle w:val="Heading2"/>
        <w:jc w:val="center"/>
        <w:rPr>
          <w:rFonts w:eastAsia="Calibri"/>
        </w:rPr>
      </w:pPr>
      <w:r>
        <w:rPr>
          <w:rFonts w:eastAsia="Calibri"/>
        </w:rPr>
        <w:t>Representations and Responses</w:t>
      </w:r>
    </w:p>
    <w:p w14:paraId="6C89CEA8" w14:textId="77777777" w:rsidR="004A7F33" w:rsidRPr="00071AE8" w:rsidRDefault="004A7F33" w:rsidP="004A7F33">
      <w:pPr>
        <w:spacing w:after="200" w:line="276" w:lineRule="auto"/>
        <w:jc w:val="center"/>
        <w:rPr>
          <w:rFonts w:ascii="Calibri" w:eastAsia="Calibri" w:hAnsi="Calibri" w:cs="Times New Roman"/>
          <w:b/>
          <w:u w:val="single"/>
        </w:rPr>
      </w:pPr>
    </w:p>
    <w:p w14:paraId="7DC9F2E5" w14:textId="6B649795" w:rsidR="004A7F33" w:rsidRPr="00071AE8" w:rsidRDefault="004A7F33" w:rsidP="00BC06EA">
      <w:pPr>
        <w:pStyle w:val="Heading3"/>
        <w:numPr>
          <w:ilvl w:val="0"/>
          <w:numId w:val="7"/>
        </w:numPr>
        <w:rPr>
          <w:rFonts w:eastAsia="Calibri"/>
        </w:rPr>
      </w:pPr>
      <w:r w:rsidRPr="00071AE8">
        <w:rPr>
          <w:rFonts w:eastAsia="Calibri"/>
        </w:rPr>
        <w:t>Number of responses received</w:t>
      </w:r>
    </w:p>
    <w:p w14:paraId="477842BD" w14:textId="77777777" w:rsidR="004A7F33" w:rsidRDefault="004A7F33" w:rsidP="004A7F33">
      <w:pPr>
        <w:spacing w:after="200" w:line="276" w:lineRule="auto"/>
        <w:ind w:left="720"/>
        <w:contextualSpacing/>
        <w:rPr>
          <w:rFonts w:ascii="Calibri" w:eastAsia="Calibri" w:hAnsi="Calibri" w:cs="Times New Roman"/>
        </w:rPr>
      </w:pPr>
      <w:r w:rsidRPr="00071AE8">
        <w:rPr>
          <w:rFonts w:ascii="Calibri" w:eastAsia="Calibri" w:hAnsi="Calibri" w:cs="Times New Roman"/>
        </w:rPr>
        <w:t xml:space="preserve">The public consultation period ended on </w:t>
      </w:r>
      <w:r>
        <w:rPr>
          <w:rFonts w:ascii="Calibri" w:eastAsia="Calibri" w:hAnsi="Calibri" w:cs="Times New Roman"/>
        </w:rPr>
        <w:t>19</w:t>
      </w:r>
      <w:r w:rsidRPr="00071AE8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January</w:t>
      </w:r>
      <w:r w:rsidRPr="00071AE8">
        <w:rPr>
          <w:rFonts w:ascii="Calibri" w:eastAsia="Calibri" w:hAnsi="Calibri" w:cs="Times New Roman"/>
        </w:rPr>
        <w:t xml:space="preserve"> 20</w:t>
      </w:r>
      <w:r>
        <w:rPr>
          <w:rFonts w:ascii="Calibri" w:eastAsia="Calibri" w:hAnsi="Calibri" w:cs="Times New Roman"/>
        </w:rPr>
        <w:t>21</w:t>
      </w:r>
      <w:r w:rsidRPr="00071AE8">
        <w:rPr>
          <w:rFonts w:ascii="Calibri" w:eastAsia="Calibri" w:hAnsi="Calibri" w:cs="Times New Roman"/>
        </w:rPr>
        <w:t xml:space="preserve"> with a total of </w:t>
      </w:r>
      <w:r>
        <w:rPr>
          <w:rFonts w:ascii="Calibri" w:eastAsia="Calibri" w:hAnsi="Calibri" w:cs="Times New Roman"/>
        </w:rPr>
        <w:t>9</w:t>
      </w:r>
      <w:r w:rsidRPr="00071AE8">
        <w:rPr>
          <w:rFonts w:ascii="Calibri" w:eastAsia="Calibri" w:hAnsi="Calibri" w:cs="Times New Roman"/>
        </w:rPr>
        <w:t xml:space="preserve"> responses having been received.  </w:t>
      </w:r>
    </w:p>
    <w:p w14:paraId="6BA516C3" w14:textId="77777777" w:rsidR="004A7F33" w:rsidRDefault="004A7F33" w:rsidP="004A7F33">
      <w:pPr>
        <w:spacing w:after="200" w:line="276" w:lineRule="auto"/>
        <w:ind w:left="720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These responses are broken down as follows:</w:t>
      </w:r>
    </w:p>
    <w:p w14:paraId="37672955" w14:textId="77777777" w:rsidR="004A7F33" w:rsidRPr="000325D0" w:rsidRDefault="004A7F33" w:rsidP="004A7F33">
      <w:pPr>
        <w:pStyle w:val="ListParagraph"/>
        <w:numPr>
          <w:ilvl w:val="0"/>
          <w:numId w:val="2"/>
        </w:num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8 supportive</w:t>
      </w:r>
    </w:p>
    <w:p w14:paraId="0BA96A57" w14:textId="77777777" w:rsidR="004A7F33" w:rsidRPr="000923B9" w:rsidRDefault="004A7F33" w:rsidP="004A7F33">
      <w:pPr>
        <w:pStyle w:val="ListParagraph"/>
        <w:numPr>
          <w:ilvl w:val="0"/>
          <w:numId w:val="2"/>
        </w:num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 is supportive in principle but raises some issues.</w:t>
      </w:r>
    </w:p>
    <w:p w14:paraId="7D613184" w14:textId="77777777" w:rsidR="004A7F33" w:rsidRPr="00071AE8" w:rsidRDefault="004A7F33" w:rsidP="004A7F33">
      <w:pPr>
        <w:spacing w:after="200" w:line="276" w:lineRule="auto"/>
        <w:contextualSpacing/>
        <w:rPr>
          <w:rFonts w:ascii="Calibri" w:eastAsia="Calibri" w:hAnsi="Calibri" w:cs="Times New Roman"/>
        </w:rPr>
      </w:pPr>
    </w:p>
    <w:p w14:paraId="14B591B6" w14:textId="1B98FF67" w:rsidR="004A7F33" w:rsidRDefault="004A7F33" w:rsidP="00BC06EA">
      <w:pPr>
        <w:pStyle w:val="Heading2"/>
        <w:numPr>
          <w:ilvl w:val="0"/>
          <w:numId w:val="7"/>
        </w:numPr>
        <w:rPr>
          <w:rFonts w:eastAsia="Calibri"/>
        </w:rPr>
      </w:pPr>
      <w:r>
        <w:rPr>
          <w:rFonts w:eastAsia="Calibri"/>
        </w:rPr>
        <w:t>Representations, questions and issues distilled from the responses received</w:t>
      </w:r>
    </w:p>
    <w:p w14:paraId="14A3B73B" w14:textId="77777777" w:rsidR="004A7F33" w:rsidRDefault="004A7F33" w:rsidP="004A7F33">
      <w:pPr>
        <w:spacing w:after="200" w:line="276" w:lineRule="auto"/>
        <w:ind w:left="720"/>
        <w:contextualSpacing/>
        <w:rPr>
          <w:rFonts w:ascii="Calibri" w:eastAsia="Calibri" w:hAnsi="Calibri" w:cs="Times New Roman"/>
          <w:b/>
          <w:u w:val="single"/>
        </w:rPr>
      </w:pPr>
    </w:p>
    <w:p w14:paraId="67B90A2E" w14:textId="04EA0458" w:rsidR="004A7F33" w:rsidRPr="000923B9" w:rsidRDefault="004A7F33" w:rsidP="00BC06EA">
      <w:pPr>
        <w:pStyle w:val="Heading3"/>
        <w:numPr>
          <w:ilvl w:val="0"/>
          <w:numId w:val="8"/>
        </w:numPr>
        <w:rPr>
          <w:rFonts w:eastAsia="Calibri"/>
          <w:u w:val="single"/>
        </w:rPr>
      </w:pPr>
      <w:r>
        <w:rPr>
          <w:rFonts w:eastAsia="Calibri"/>
        </w:rPr>
        <w:t>Supportive comments received</w:t>
      </w:r>
    </w:p>
    <w:p w14:paraId="40C865F2" w14:textId="77777777" w:rsidR="004A7F33" w:rsidRDefault="004A7F33" w:rsidP="004A7F33">
      <w:pPr>
        <w:pStyle w:val="ListParagraph"/>
        <w:spacing w:after="200" w:line="276" w:lineRule="auto"/>
        <w:ind w:left="1440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The types of supportive comments received can be summarised in the following examples:-</w:t>
      </w:r>
    </w:p>
    <w:p w14:paraId="62FBC995" w14:textId="77777777" w:rsidR="004A7F33" w:rsidRPr="001041C9" w:rsidRDefault="004A7F33" w:rsidP="004A7F33">
      <w:pPr>
        <w:pStyle w:val="ListParagraph"/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Excellent idea.</w:t>
      </w:r>
    </w:p>
    <w:p w14:paraId="70713CB5" w14:textId="77777777" w:rsidR="004A7F33" w:rsidRDefault="004A7F33" w:rsidP="004A7F33">
      <w:pPr>
        <w:pStyle w:val="ListParagraph"/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Help to rejuvenate and return community atmosphere to the Links.</w:t>
      </w:r>
    </w:p>
    <w:p w14:paraId="4332D4F4" w14:textId="77777777" w:rsidR="004A7F33" w:rsidRDefault="004A7F33" w:rsidP="004A7F33">
      <w:pPr>
        <w:pStyle w:val="ListParagraph"/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Great asset and encourage people to use the Links and stay for longer.</w:t>
      </w:r>
    </w:p>
    <w:p w14:paraId="10206F62" w14:textId="77777777" w:rsidR="004A7F33" w:rsidRDefault="004A7F33" w:rsidP="004A7F33">
      <w:pPr>
        <w:pStyle w:val="ListParagraph"/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Encourage visitors to the Links whilst not being a threat to other Tain businesses.</w:t>
      </w:r>
    </w:p>
    <w:p w14:paraId="475DB4CE" w14:textId="77777777" w:rsidR="004A7F33" w:rsidRDefault="004A7F33" w:rsidP="004A7F33">
      <w:pPr>
        <w:pStyle w:val="ListParagraph"/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 xml:space="preserve">It will </w:t>
      </w:r>
      <w:proofErr w:type="gramStart"/>
      <w:r>
        <w:rPr>
          <w:rFonts w:ascii="Calibri" w:eastAsia="Calibri" w:hAnsi="Calibri" w:cs="Times New Roman"/>
          <w:bCs/>
        </w:rPr>
        <w:t>open up</w:t>
      </w:r>
      <w:proofErr w:type="gramEnd"/>
      <w:r>
        <w:rPr>
          <w:rFonts w:ascii="Calibri" w:eastAsia="Calibri" w:hAnsi="Calibri" w:cs="Times New Roman"/>
          <w:bCs/>
        </w:rPr>
        <w:t xml:space="preserve"> an area of town that seems to have become forgotten.</w:t>
      </w:r>
    </w:p>
    <w:p w14:paraId="70EE1122" w14:textId="77777777" w:rsidR="004A7F33" w:rsidRDefault="004A7F33" w:rsidP="004A7F33">
      <w:pPr>
        <w:pStyle w:val="ListParagraph"/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Currently an eyesore attracting vandalism, not in use for 20/30 years so fantastic to see it done up and become something to benefit the community.</w:t>
      </w:r>
    </w:p>
    <w:p w14:paraId="78143E6F" w14:textId="77777777" w:rsidR="004A7F33" w:rsidRDefault="004A7F33" w:rsidP="004A7F33">
      <w:pPr>
        <w:pStyle w:val="ListParagraph"/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One supportive comment also highlighted a need to refurbish the playground and skateboard park suggesting this might be achieved by volunteers from the community.</w:t>
      </w:r>
    </w:p>
    <w:p w14:paraId="3BAC168B" w14:textId="77777777" w:rsidR="004A7F33" w:rsidRDefault="004A7F33" w:rsidP="004A7F33">
      <w:pPr>
        <w:pStyle w:val="ListParagraph"/>
        <w:spacing w:after="200" w:line="276" w:lineRule="auto"/>
        <w:ind w:left="2160"/>
        <w:rPr>
          <w:rFonts w:ascii="Calibri" w:eastAsia="Calibri" w:hAnsi="Calibri" w:cs="Times New Roman"/>
          <w:bCs/>
        </w:rPr>
      </w:pPr>
    </w:p>
    <w:p w14:paraId="53E9B3D4" w14:textId="74ED22CD" w:rsidR="004A7F33" w:rsidRDefault="004A7F33" w:rsidP="00BC06EA">
      <w:pPr>
        <w:pStyle w:val="Heading3"/>
        <w:numPr>
          <w:ilvl w:val="0"/>
          <w:numId w:val="8"/>
        </w:numPr>
        <w:rPr>
          <w:rFonts w:eastAsia="Calibri"/>
        </w:rPr>
      </w:pPr>
      <w:r>
        <w:rPr>
          <w:rFonts w:eastAsia="Calibri"/>
        </w:rPr>
        <w:t>Objections or issues raised for response</w:t>
      </w:r>
    </w:p>
    <w:p w14:paraId="47A4A3FB" w14:textId="77777777" w:rsidR="004A7F33" w:rsidRPr="00145D73" w:rsidRDefault="004A7F33" w:rsidP="004A7F33">
      <w:pPr>
        <w:pStyle w:val="ListParagraph"/>
        <w:spacing w:after="200" w:line="276" w:lineRule="auto"/>
        <w:ind w:left="1440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1 response supported in principle but raised issues which focussed on vehicle access. The issues raised are summarised in the table below.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4048"/>
        <w:gridCol w:w="3686"/>
      </w:tblGrid>
      <w:tr w:rsidR="004A7F33" w:rsidRPr="00591EE2" w14:paraId="0304BBD0" w14:textId="77777777" w:rsidTr="00C707AE">
        <w:tc>
          <w:tcPr>
            <w:tcW w:w="4048" w:type="dxa"/>
          </w:tcPr>
          <w:p w14:paraId="1233B777" w14:textId="77777777" w:rsidR="004A7F33" w:rsidRPr="00591EE2" w:rsidRDefault="004A7F33" w:rsidP="00C707AE">
            <w:pPr>
              <w:pStyle w:val="NoSpacing"/>
              <w:jc w:val="center"/>
              <w:rPr>
                <w:b/>
                <w:bCs/>
              </w:rPr>
            </w:pPr>
            <w:r w:rsidRPr="00591EE2">
              <w:rPr>
                <w:b/>
                <w:bCs/>
              </w:rPr>
              <w:lastRenderedPageBreak/>
              <w:t>Questions/issues/concerns</w:t>
            </w:r>
          </w:p>
        </w:tc>
        <w:tc>
          <w:tcPr>
            <w:tcW w:w="3686" w:type="dxa"/>
          </w:tcPr>
          <w:p w14:paraId="65121D8E" w14:textId="77777777" w:rsidR="004A7F33" w:rsidRPr="00591EE2" w:rsidRDefault="004A7F33" w:rsidP="00C707AE">
            <w:pPr>
              <w:pStyle w:val="NoSpacing"/>
              <w:jc w:val="center"/>
              <w:rPr>
                <w:b/>
                <w:bCs/>
              </w:rPr>
            </w:pPr>
            <w:r w:rsidRPr="00591EE2">
              <w:rPr>
                <w:b/>
                <w:bCs/>
              </w:rPr>
              <w:t>Council’s suggested response</w:t>
            </w:r>
          </w:p>
        </w:tc>
      </w:tr>
      <w:tr w:rsidR="004A7F33" w14:paraId="740966A4" w14:textId="77777777" w:rsidTr="00C707AE">
        <w:tc>
          <w:tcPr>
            <w:tcW w:w="4048" w:type="dxa"/>
          </w:tcPr>
          <w:p w14:paraId="67A5CB44" w14:textId="77777777" w:rsidR="004A7F33" w:rsidRDefault="004A7F33" w:rsidP="00C707AE">
            <w:pPr>
              <w:pStyle w:val="NoSpacing"/>
              <w:rPr>
                <w:bCs/>
              </w:rPr>
            </w:pPr>
            <w:r>
              <w:rPr>
                <w:bCs/>
              </w:rPr>
              <w:t>There should be no parking at the kiosk, even staff parking as it will change the character of the area. Currently pedestrians, children and bikes are more important than cars.</w:t>
            </w:r>
          </w:p>
          <w:p w14:paraId="5E73CC17" w14:textId="77777777" w:rsidR="004A7F33" w:rsidRDefault="004A7F33" w:rsidP="00C707AE">
            <w:pPr>
              <w:pStyle w:val="NoSpacing"/>
              <w:rPr>
                <w:bCs/>
              </w:rPr>
            </w:pPr>
          </w:p>
        </w:tc>
        <w:tc>
          <w:tcPr>
            <w:tcW w:w="3686" w:type="dxa"/>
          </w:tcPr>
          <w:p w14:paraId="1B697DC7" w14:textId="77777777" w:rsidR="004A7F33" w:rsidRDefault="004A7F33" w:rsidP="00C707AE">
            <w:pPr>
              <w:pStyle w:val="NoSpacing"/>
              <w:rPr>
                <w:bCs/>
              </w:rPr>
            </w:pPr>
            <w:r>
              <w:rPr>
                <w:bCs/>
              </w:rPr>
              <w:t xml:space="preserve">Vehicle access will be permitted for operational business use only i.e. deliveries. </w:t>
            </w:r>
          </w:p>
          <w:p w14:paraId="390AF297" w14:textId="77777777" w:rsidR="004A7F33" w:rsidRDefault="004A7F33" w:rsidP="00C707AE">
            <w:pPr>
              <w:pStyle w:val="NoSpacing"/>
              <w:rPr>
                <w:bCs/>
              </w:rPr>
            </w:pPr>
            <w:r>
              <w:rPr>
                <w:bCs/>
              </w:rPr>
              <w:t>However, vehicular access will also be permitted to facilitate access for disabled customers.</w:t>
            </w:r>
          </w:p>
        </w:tc>
      </w:tr>
      <w:tr w:rsidR="004A7F33" w14:paraId="6F19019C" w14:textId="77777777" w:rsidTr="00C707AE">
        <w:tc>
          <w:tcPr>
            <w:tcW w:w="4048" w:type="dxa"/>
          </w:tcPr>
          <w:p w14:paraId="27B38EFA" w14:textId="77777777" w:rsidR="004A7F33" w:rsidRDefault="004A7F33" w:rsidP="00C707AE">
            <w:pPr>
              <w:pStyle w:val="NoSpacing"/>
              <w:rPr>
                <w:bCs/>
              </w:rPr>
            </w:pPr>
            <w:r>
              <w:rPr>
                <w:bCs/>
              </w:rPr>
              <w:t xml:space="preserve">The hardstanding track is poorly defined and surrounding grass is soft – customers might assume they can drive to the kiosk causing the ground surface to be degraded/damaged. </w:t>
            </w:r>
          </w:p>
          <w:p w14:paraId="2E80C7CA" w14:textId="77777777" w:rsidR="004A7F33" w:rsidRDefault="004A7F33" w:rsidP="00C707AE">
            <w:pPr>
              <w:pStyle w:val="NoSpacing"/>
              <w:rPr>
                <w:bCs/>
              </w:rPr>
            </w:pPr>
          </w:p>
        </w:tc>
        <w:tc>
          <w:tcPr>
            <w:tcW w:w="3686" w:type="dxa"/>
          </w:tcPr>
          <w:p w14:paraId="1D7D685A" w14:textId="77777777" w:rsidR="004A7F33" w:rsidRDefault="004A7F33" w:rsidP="00C707AE">
            <w:pPr>
              <w:pStyle w:val="NoSpacing"/>
              <w:rPr>
                <w:bCs/>
              </w:rPr>
            </w:pPr>
            <w:r>
              <w:rPr>
                <w:bCs/>
              </w:rPr>
              <w:t>Vehicle access is permitted for operational business use and disabled customer access only.</w:t>
            </w:r>
          </w:p>
        </w:tc>
      </w:tr>
      <w:tr w:rsidR="004A7F33" w14:paraId="5EC3F89C" w14:textId="77777777" w:rsidTr="00C707AE">
        <w:tc>
          <w:tcPr>
            <w:tcW w:w="4048" w:type="dxa"/>
          </w:tcPr>
          <w:p w14:paraId="2D5FB15D" w14:textId="77777777" w:rsidR="004A7F33" w:rsidRDefault="004A7F33" w:rsidP="00C707AE">
            <w:pPr>
              <w:pStyle w:val="NoSpacing"/>
              <w:rPr>
                <w:bCs/>
              </w:rPr>
            </w:pPr>
            <w:r>
              <w:rPr>
                <w:bCs/>
              </w:rPr>
              <w:t>Suggestions:</w:t>
            </w:r>
          </w:p>
          <w:p w14:paraId="4B2401A5" w14:textId="77777777" w:rsidR="004A7F33" w:rsidRDefault="004A7F33" w:rsidP="004A7F33">
            <w:pPr>
              <w:pStyle w:val="NoSpacing"/>
              <w:numPr>
                <w:ilvl w:val="0"/>
                <w:numId w:val="6"/>
              </w:numPr>
              <w:rPr>
                <w:bCs/>
              </w:rPr>
            </w:pPr>
            <w:r>
              <w:rPr>
                <w:bCs/>
              </w:rPr>
              <w:t>No customer parking</w:t>
            </w:r>
          </w:p>
          <w:p w14:paraId="3F5FEE02" w14:textId="77777777" w:rsidR="004A7F33" w:rsidRDefault="004A7F33" w:rsidP="004A7F33">
            <w:pPr>
              <w:pStyle w:val="NoSpacing"/>
              <w:numPr>
                <w:ilvl w:val="0"/>
                <w:numId w:val="6"/>
              </w:numPr>
              <w:rPr>
                <w:bCs/>
              </w:rPr>
            </w:pPr>
            <w:r>
              <w:rPr>
                <w:bCs/>
              </w:rPr>
              <w:t>Strict access management along hardstanding by tenants</w:t>
            </w:r>
          </w:p>
          <w:p w14:paraId="5E3A9F1D" w14:textId="77777777" w:rsidR="004A7F33" w:rsidRDefault="004A7F33" w:rsidP="004A7F33">
            <w:pPr>
              <w:pStyle w:val="NoSpacing"/>
              <w:numPr>
                <w:ilvl w:val="0"/>
                <w:numId w:val="6"/>
              </w:numPr>
              <w:rPr>
                <w:bCs/>
              </w:rPr>
            </w:pPr>
            <w:r>
              <w:rPr>
                <w:bCs/>
              </w:rPr>
              <w:t>No staff parking</w:t>
            </w:r>
          </w:p>
          <w:p w14:paraId="09F6F3F4" w14:textId="77777777" w:rsidR="004A7F33" w:rsidRDefault="004A7F33" w:rsidP="004A7F33">
            <w:pPr>
              <w:pStyle w:val="NoSpacing"/>
              <w:numPr>
                <w:ilvl w:val="0"/>
                <w:numId w:val="6"/>
              </w:numPr>
              <w:rPr>
                <w:bCs/>
              </w:rPr>
            </w:pPr>
            <w:r>
              <w:rPr>
                <w:bCs/>
              </w:rPr>
              <w:t>Vehicular access for loading/unloading only</w:t>
            </w:r>
          </w:p>
          <w:p w14:paraId="61F99801" w14:textId="77777777" w:rsidR="004A7F33" w:rsidRDefault="004A7F33" w:rsidP="00C707AE">
            <w:pPr>
              <w:pStyle w:val="NoSpacing"/>
              <w:rPr>
                <w:bCs/>
              </w:rPr>
            </w:pPr>
          </w:p>
        </w:tc>
        <w:tc>
          <w:tcPr>
            <w:tcW w:w="3686" w:type="dxa"/>
          </w:tcPr>
          <w:p w14:paraId="3F493954" w14:textId="77777777" w:rsidR="004A7F33" w:rsidRDefault="004A7F33" w:rsidP="00C707AE">
            <w:pPr>
              <w:pStyle w:val="NoSpacing"/>
              <w:rPr>
                <w:bCs/>
              </w:rPr>
            </w:pPr>
          </w:p>
          <w:p w14:paraId="7729129F" w14:textId="77777777" w:rsidR="004A7F33" w:rsidRDefault="004A7F33" w:rsidP="004A7F33">
            <w:pPr>
              <w:pStyle w:val="NoSpacing"/>
              <w:numPr>
                <w:ilvl w:val="0"/>
                <w:numId w:val="6"/>
              </w:numPr>
              <w:rPr>
                <w:bCs/>
              </w:rPr>
            </w:pPr>
            <w:r>
              <w:rPr>
                <w:bCs/>
              </w:rPr>
              <w:t>Disabled parking only.</w:t>
            </w:r>
          </w:p>
          <w:p w14:paraId="7DBC460F" w14:textId="77777777" w:rsidR="004A7F33" w:rsidRDefault="004A7F33" w:rsidP="004A7F33">
            <w:pPr>
              <w:pStyle w:val="NoSpacing"/>
              <w:numPr>
                <w:ilvl w:val="0"/>
                <w:numId w:val="6"/>
              </w:numPr>
              <w:rPr>
                <w:bCs/>
              </w:rPr>
            </w:pPr>
            <w:r>
              <w:rPr>
                <w:bCs/>
              </w:rPr>
              <w:t>Yes - covered by lease terms and conditions.</w:t>
            </w:r>
          </w:p>
          <w:p w14:paraId="3AD8A7A8" w14:textId="77777777" w:rsidR="004A7F33" w:rsidRDefault="004A7F33" w:rsidP="004A7F33">
            <w:pPr>
              <w:pStyle w:val="NoSpacing"/>
              <w:numPr>
                <w:ilvl w:val="0"/>
                <w:numId w:val="6"/>
              </w:numPr>
              <w:rPr>
                <w:bCs/>
              </w:rPr>
            </w:pPr>
            <w:r>
              <w:rPr>
                <w:bCs/>
              </w:rPr>
              <w:t>No permission or space provided for staff parking.</w:t>
            </w:r>
          </w:p>
          <w:p w14:paraId="24A4BBC3" w14:textId="77777777" w:rsidR="004A7F33" w:rsidRDefault="004A7F33" w:rsidP="004A7F33">
            <w:pPr>
              <w:pStyle w:val="NoSpacing"/>
              <w:numPr>
                <w:ilvl w:val="0"/>
                <w:numId w:val="6"/>
              </w:numPr>
              <w:rPr>
                <w:bCs/>
              </w:rPr>
            </w:pPr>
            <w:r>
              <w:rPr>
                <w:bCs/>
              </w:rPr>
              <w:t>Yes – covered by lease terms and conditions.</w:t>
            </w:r>
          </w:p>
        </w:tc>
      </w:tr>
    </w:tbl>
    <w:p w14:paraId="1F257189" w14:textId="77777777" w:rsidR="004A7F33" w:rsidRDefault="004A7F33" w:rsidP="004A7F33">
      <w:pPr>
        <w:pStyle w:val="ListParagraph"/>
        <w:spacing w:after="200" w:line="276" w:lineRule="auto"/>
        <w:ind w:left="1440"/>
        <w:rPr>
          <w:rFonts w:ascii="Calibri" w:eastAsia="Calibri" w:hAnsi="Calibri" w:cs="Times New Roman"/>
          <w:bCs/>
        </w:rPr>
      </w:pPr>
    </w:p>
    <w:p w14:paraId="7A8147B8" w14:textId="77777777" w:rsidR="004A7F33" w:rsidRDefault="004A7F33" w:rsidP="004A7F33">
      <w:pPr>
        <w:pStyle w:val="ListParagraph"/>
        <w:spacing w:after="200" w:line="276" w:lineRule="auto"/>
        <w:ind w:left="1440"/>
        <w:rPr>
          <w:rFonts w:ascii="Calibri" w:eastAsia="Calibri" w:hAnsi="Calibri" w:cs="Times New Roman"/>
          <w:bCs/>
        </w:rPr>
      </w:pPr>
    </w:p>
    <w:p w14:paraId="2D82A22C" w14:textId="77777777" w:rsidR="004A7F33" w:rsidRPr="00071AE8" w:rsidRDefault="004A7F33" w:rsidP="004A7F33">
      <w:pPr>
        <w:spacing w:after="200" w:line="276" w:lineRule="auto"/>
        <w:rPr>
          <w:rFonts w:ascii="Calibri" w:eastAsia="Calibri" w:hAnsi="Calibri" w:cs="Times New Roman"/>
        </w:rPr>
      </w:pPr>
    </w:p>
    <w:p w14:paraId="07944815" w14:textId="77777777" w:rsidR="004A7F33" w:rsidRDefault="004A7F33" w:rsidP="004A7F33"/>
    <w:p w14:paraId="5E9DF5CA" w14:textId="77777777" w:rsidR="004A7F33" w:rsidRDefault="004A7F33" w:rsidP="004A7F33"/>
    <w:p w14:paraId="2EE37077" w14:textId="77777777" w:rsidR="00596ECB" w:rsidRDefault="00596ECB"/>
    <w:sectPr w:rsidR="00596ECB" w:rsidSect="00853BE0">
      <w:headerReference w:type="default" r:id="rId10"/>
      <w:footerReference w:type="default" r:id="rId11"/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7F056" w14:textId="77777777" w:rsidR="00337329" w:rsidRDefault="00337329" w:rsidP="004A7F33">
      <w:pPr>
        <w:spacing w:after="0" w:line="240" w:lineRule="auto"/>
      </w:pPr>
      <w:r>
        <w:separator/>
      </w:r>
    </w:p>
  </w:endnote>
  <w:endnote w:type="continuationSeparator" w:id="0">
    <w:p w14:paraId="6C691241" w14:textId="77777777" w:rsidR="00337329" w:rsidRDefault="00337329" w:rsidP="004A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F9A24" w14:textId="4D5B1589" w:rsidR="004A7F33" w:rsidRDefault="004A7F33">
    <w:pPr>
      <w:pStyle w:val="Footer"/>
    </w:pPr>
    <w:r>
      <w:t>March 2021</w:t>
    </w:r>
  </w:p>
  <w:p w14:paraId="5F5B5D5E" w14:textId="77777777" w:rsidR="004A7F33" w:rsidRDefault="004A7F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AE829" w14:textId="77777777" w:rsidR="00337329" w:rsidRDefault="00337329" w:rsidP="004A7F33">
      <w:pPr>
        <w:spacing w:after="0" w:line="240" w:lineRule="auto"/>
      </w:pPr>
      <w:r>
        <w:separator/>
      </w:r>
    </w:p>
  </w:footnote>
  <w:footnote w:type="continuationSeparator" w:id="0">
    <w:p w14:paraId="3A299FD0" w14:textId="77777777" w:rsidR="00337329" w:rsidRDefault="00337329" w:rsidP="004A7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6BD29" w14:textId="3B142E64" w:rsidR="004A7F33" w:rsidRDefault="004A7F33" w:rsidP="004A7F33">
    <w:pPr>
      <w:pStyle w:val="Header"/>
      <w:jc w:val="right"/>
    </w:pPr>
    <w:r>
      <w:rPr>
        <w:noProof/>
      </w:rPr>
      <w:drawing>
        <wp:inline distT="0" distB="0" distL="0" distR="0" wp14:anchorId="7EDEAA79" wp14:editId="4708262A">
          <wp:extent cx="1409700" cy="712596"/>
          <wp:effectExtent l="0" t="0" r="0" b="0"/>
          <wp:docPr id="1" name="Picture 1" descr="Highland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ighland Counci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155" cy="722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19C1B4" w14:textId="77777777" w:rsidR="004A7F33" w:rsidRDefault="004A7F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A2DAD"/>
    <w:multiLevelType w:val="hybridMultilevel"/>
    <w:tmpl w:val="148A5B3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FE71592"/>
    <w:multiLevelType w:val="hybridMultilevel"/>
    <w:tmpl w:val="5B30BE3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56C93"/>
    <w:multiLevelType w:val="hybridMultilevel"/>
    <w:tmpl w:val="690C8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F6E3A"/>
    <w:multiLevelType w:val="hybridMultilevel"/>
    <w:tmpl w:val="ED7AEC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A5370B"/>
    <w:multiLevelType w:val="hybridMultilevel"/>
    <w:tmpl w:val="DF80F5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72ECA"/>
    <w:multiLevelType w:val="hybridMultilevel"/>
    <w:tmpl w:val="75628C3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79147A6"/>
    <w:multiLevelType w:val="hybridMultilevel"/>
    <w:tmpl w:val="34E6EC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F470B57"/>
    <w:multiLevelType w:val="hybridMultilevel"/>
    <w:tmpl w:val="CA8265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679068">
    <w:abstractNumId w:val="4"/>
  </w:num>
  <w:num w:numId="2" w16cid:durableId="1382285415">
    <w:abstractNumId w:val="3"/>
  </w:num>
  <w:num w:numId="3" w16cid:durableId="788545546">
    <w:abstractNumId w:val="5"/>
  </w:num>
  <w:num w:numId="4" w16cid:durableId="289240383">
    <w:abstractNumId w:val="0"/>
  </w:num>
  <w:num w:numId="5" w16cid:durableId="1069234301">
    <w:abstractNumId w:val="6"/>
  </w:num>
  <w:num w:numId="6" w16cid:durableId="2085297174">
    <w:abstractNumId w:val="2"/>
  </w:num>
  <w:num w:numId="7" w16cid:durableId="887688485">
    <w:abstractNumId w:val="7"/>
  </w:num>
  <w:num w:numId="8" w16cid:durableId="1608929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F33"/>
    <w:rsid w:val="00337329"/>
    <w:rsid w:val="00420D43"/>
    <w:rsid w:val="004A7F33"/>
    <w:rsid w:val="00596ECB"/>
    <w:rsid w:val="007D126D"/>
    <w:rsid w:val="00BC06EA"/>
    <w:rsid w:val="00F8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06CB7"/>
  <w15:chartTrackingRefBased/>
  <w15:docId w15:val="{EA00DE03-FBB9-45C2-89D9-370C564FB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F33"/>
  </w:style>
  <w:style w:type="paragraph" w:styleId="Heading1">
    <w:name w:val="heading 1"/>
    <w:basedOn w:val="Normal"/>
    <w:next w:val="Normal"/>
    <w:link w:val="Heading1Char"/>
    <w:uiPriority w:val="9"/>
    <w:qFormat/>
    <w:rsid w:val="00BC06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06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06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7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7F33"/>
    <w:pPr>
      <w:ind w:left="720"/>
      <w:contextualSpacing/>
    </w:pPr>
  </w:style>
  <w:style w:type="paragraph" w:styleId="NoSpacing">
    <w:name w:val="No Spacing"/>
    <w:uiPriority w:val="1"/>
    <w:qFormat/>
    <w:rsid w:val="004A7F3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A7F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F33"/>
  </w:style>
  <w:style w:type="paragraph" w:styleId="Footer">
    <w:name w:val="footer"/>
    <w:basedOn w:val="Normal"/>
    <w:link w:val="FooterChar"/>
    <w:uiPriority w:val="99"/>
    <w:unhideWhenUsed/>
    <w:rsid w:val="004A7F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F33"/>
  </w:style>
  <w:style w:type="character" w:customStyle="1" w:styleId="Heading1Char">
    <w:name w:val="Heading 1 Char"/>
    <w:basedOn w:val="DefaultParagraphFont"/>
    <w:link w:val="Heading1"/>
    <w:uiPriority w:val="9"/>
    <w:rsid w:val="00BC06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06E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06E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E436619591D47A7E6A9ED2EC0A7AB" ma:contentTypeVersion="13" ma:contentTypeDescription="Create a new document." ma:contentTypeScope="" ma:versionID="3de6c09504ce7a7f12ac48a0155490b2">
  <xsd:schema xmlns:xsd="http://www.w3.org/2001/XMLSchema" xmlns:xs="http://www.w3.org/2001/XMLSchema" xmlns:p="http://schemas.microsoft.com/office/2006/metadata/properties" xmlns:ns3="2e53f7bb-87d0-4e1a-a6d1-4c3b647e4d1c" xmlns:ns4="16e2abe0-1689-4d14-b670-48dfa93481e9" targetNamespace="http://schemas.microsoft.com/office/2006/metadata/properties" ma:root="true" ma:fieldsID="ff5198545022591d39defc0c069f2ce1" ns3:_="" ns4:_="">
    <xsd:import namespace="2e53f7bb-87d0-4e1a-a6d1-4c3b647e4d1c"/>
    <xsd:import namespace="16e2abe0-1689-4d14-b670-48dfa93481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3f7bb-87d0-4e1a-a6d1-4c3b647e4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2abe0-1689-4d14-b670-48dfa9348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688CCB-B9CE-4AD0-8A70-D3259BB063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1C647C-7716-46CC-B02E-3048D8909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3f7bb-87d0-4e1a-a6d1-4c3b647e4d1c"/>
    <ds:schemaRef ds:uri="16e2abe0-1689-4d14-b670-48dfa9348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DD2230-EE16-442E-BA15-B04BE6E772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Murdoch</dc:creator>
  <cp:keywords/>
  <dc:description/>
  <cp:lastModifiedBy>Ronan Hutchison (Strategic Improvement &amp; Performance)</cp:lastModifiedBy>
  <cp:revision>4</cp:revision>
  <dcterms:created xsi:type="dcterms:W3CDTF">2021-03-04T10:44:00Z</dcterms:created>
  <dcterms:modified xsi:type="dcterms:W3CDTF">2025-07-17T10:54:00Z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0x010100D8BE436619591D47A7E6A9ED2EC0A7AB</vt:lpwstr>
  </property>
</Properties>
</file>