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E6A68" w14:textId="77777777" w:rsidR="00A7235D" w:rsidRPr="008E31F0" w:rsidRDefault="00E046A8" w:rsidP="008E31F0">
      <w:pPr>
        <w:jc w:val="center"/>
        <w:rPr>
          <w:b/>
          <w:sz w:val="20"/>
          <w:szCs w:val="20"/>
        </w:rPr>
      </w:pPr>
      <w:r>
        <w:rPr>
          <w:b/>
          <w:sz w:val="20"/>
          <w:szCs w:val="20"/>
        </w:rPr>
        <w:t xml:space="preserve"> </w:t>
      </w:r>
      <w:r w:rsidR="008E31F0" w:rsidRPr="008E31F0">
        <w:rPr>
          <w:b/>
          <w:sz w:val="20"/>
          <w:szCs w:val="20"/>
        </w:rPr>
        <w:t>INVERNESS REPRESENTATIONS AND RESPONSES</w:t>
      </w:r>
    </w:p>
    <w:tbl>
      <w:tblPr>
        <w:tblStyle w:val="TableGrid"/>
        <w:tblW w:w="15168" w:type="dxa"/>
        <w:tblInd w:w="-601" w:type="dxa"/>
        <w:tblLook w:val="04A0" w:firstRow="1" w:lastRow="0" w:firstColumn="1" w:lastColumn="0" w:noHBand="0" w:noVBand="1"/>
      </w:tblPr>
      <w:tblGrid>
        <w:gridCol w:w="7688"/>
        <w:gridCol w:w="7480"/>
      </w:tblGrid>
      <w:tr w:rsidR="008E31F0" w:rsidRPr="008E31F0" w14:paraId="4B8E6A6B" w14:textId="77777777" w:rsidTr="00D8317B">
        <w:tc>
          <w:tcPr>
            <w:tcW w:w="7688" w:type="dxa"/>
          </w:tcPr>
          <w:p w14:paraId="4B8E6A69" w14:textId="77777777" w:rsidR="008E31F0" w:rsidRPr="008E31F0" w:rsidRDefault="008E31F0" w:rsidP="008E31F0">
            <w:pPr>
              <w:jc w:val="center"/>
              <w:rPr>
                <w:b/>
                <w:sz w:val="20"/>
                <w:szCs w:val="20"/>
              </w:rPr>
            </w:pPr>
            <w:r>
              <w:rPr>
                <w:b/>
                <w:sz w:val="20"/>
                <w:szCs w:val="20"/>
              </w:rPr>
              <w:t>REPRESENTATIONS RECEIVED</w:t>
            </w:r>
          </w:p>
        </w:tc>
        <w:tc>
          <w:tcPr>
            <w:tcW w:w="7480" w:type="dxa"/>
          </w:tcPr>
          <w:p w14:paraId="4B8E6A6A" w14:textId="77777777" w:rsidR="008E31F0" w:rsidRPr="008E31F0" w:rsidRDefault="008E31F0" w:rsidP="008E31F0">
            <w:pPr>
              <w:jc w:val="center"/>
              <w:rPr>
                <w:b/>
                <w:sz w:val="20"/>
                <w:szCs w:val="20"/>
              </w:rPr>
            </w:pPr>
            <w:r>
              <w:rPr>
                <w:b/>
                <w:sz w:val="20"/>
                <w:szCs w:val="20"/>
              </w:rPr>
              <w:t>RESPONSES</w:t>
            </w:r>
          </w:p>
        </w:tc>
      </w:tr>
      <w:tr w:rsidR="008E31F0" w:rsidRPr="008E31F0" w14:paraId="4B8E6A70" w14:textId="77777777" w:rsidTr="00D8317B">
        <w:tc>
          <w:tcPr>
            <w:tcW w:w="7688" w:type="dxa"/>
          </w:tcPr>
          <w:p w14:paraId="4B8E6A6C" w14:textId="77777777" w:rsidR="008E31F0" w:rsidRDefault="00CF45F8" w:rsidP="00CF45F8">
            <w:pPr>
              <w:rPr>
                <w:b/>
                <w:sz w:val="20"/>
                <w:szCs w:val="20"/>
              </w:rPr>
            </w:pPr>
            <w:r>
              <w:rPr>
                <w:b/>
                <w:sz w:val="20"/>
                <w:szCs w:val="20"/>
              </w:rPr>
              <w:t>Maggot Green</w:t>
            </w:r>
          </w:p>
          <w:p w14:paraId="4B8E6A6D" w14:textId="77777777" w:rsidR="00CF45F8" w:rsidRPr="00CF45F8" w:rsidRDefault="00652584" w:rsidP="00CF45F8">
            <w:pPr>
              <w:rPr>
                <w:sz w:val="20"/>
                <w:szCs w:val="20"/>
              </w:rPr>
            </w:pPr>
            <w:r>
              <w:rPr>
                <w:sz w:val="20"/>
                <w:szCs w:val="20"/>
              </w:rPr>
              <w:t>This is wrongly named on the proposed register – it should be Friars Shott Green as Maggot Green is on the opposite side of the River Ness.</w:t>
            </w:r>
          </w:p>
        </w:tc>
        <w:tc>
          <w:tcPr>
            <w:tcW w:w="7480" w:type="dxa"/>
          </w:tcPr>
          <w:p w14:paraId="4B8E6A6E" w14:textId="77777777" w:rsidR="008E31F0" w:rsidRDefault="00652584" w:rsidP="00652584">
            <w:pPr>
              <w:rPr>
                <w:b/>
                <w:sz w:val="20"/>
                <w:szCs w:val="20"/>
              </w:rPr>
            </w:pPr>
            <w:r>
              <w:rPr>
                <w:b/>
                <w:sz w:val="20"/>
                <w:szCs w:val="20"/>
              </w:rPr>
              <w:t>Maggot Green</w:t>
            </w:r>
          </w:p>
          <w:p w14:paraId="4B8E6A6F" w14:textId="77777777" w:rsidR="00652584" w:rsidRPr="00652584" w:rsidRDefault="00652584" w:rsidP="00652584">
            <w:pPr>
              <w:rPr>
                <w:sz w:val="20"/>
                <w:szCs w:val="20"/>
              </w:rPr>
            </w:pPr>
            <w:r>
              <w:rPr>
                <w:sz w:val="20"/>
                <w:szCs w:val="20"/>
              </w:rPr>
              <w:t>This has been investigated from local history information and pictures and this is accepted. The register will be amended to Friars Shott Green open space.</w:t>
            </w:r>
          </w:p>
        </w:tc>
      </w:tr>
      <w:tr w:rsidR="008E31F0" w:rsidRPr="008E31F0" w14:paraId="4B8E6A79" w14:textId="77777777" w:rsidTr="00D8317B">
        <w:tc>
          <w:tcPr>
            <w:tcW w:w="7688" w:type="dxa"/>
          </w:tcPr>
          <w:p w14:paraId="4B8E6A71" w14:textId="77777777" w:rsidR="008E31F0" w:rsidRDefault="007A0605" w:rsidP="00652584">
            <w:pPr>
              <w:rPr>
                <w:b/>
                <w:sz w:val="20"/>
                <w:szCs w:val="20"/>
              </w:rPr>
            </w:pPr>
            <w:r>
              <w:rPr>
                <w:b/>
                <w:sz w:val="20"/>
                <w:szCs w:val="20"/>
              </w:rPr>
              <w:t>Torvean Quarry</w:t>
            </w:r>
          </w:p>
          <w:p w14:paraId="4B8E6A72" w14:textId="568F997F" w:rsidR="007A0605" w:rsidRDefault="00233B30" w:rsidP="00233B30">
            <w:pPr>
              <w:pStyle w:val="ListParagraph"/>
              <w:numPr>
                <w:ilvl w:val="0"/>
                <w:numId w:val="1"/>
              </w:numPr>
              <w:rPr>
                <w:sz w:val="20"/>
                <w:szCs w:val="20"/>
              </w:rPr>
            </w:pPr>
            <w:r>
              <w:rPr>
                <w:sz w:val="20"/>
                <w:szCs w:val="20"/>
              </w:rPr>
              <w:t xml:space="preserve">Torvean Quarry is not on the list of Common Good </w:t>
            </w:r>
            <w:r w:rsidR="00DF47CB">
              <w:rPr>
                <w:sz w:val="20"/>
                <w:szCs w:val="20"/>
              </w:rPr>
              <w:t>assets,</w:t>
            </w:r>
            <w:r>
              <w:rPr>
                <w:sz w:val="20"/>
                <w:szCs w:val="20"/>
              </w:rPr>
              <w:t xml:space="preserve"> but it is understood that fees for abstraction of sand and gravel were paid into the Common Good Fund. Is this the case? Should the Quarry be included as a Common Good Asset?</w:t>
            </w:r>
          </w:p>
          <w:p w14:paraId="4B8E6A73" w14:textId="77777777" w:rsidR="00F54416" w:rsidRDefault="00F54416" w:rsidP="00F54416">
            <w:pPr>
              <w:pStyle w:val="ListParagraph"/>
              <w:rPr>
                <w:sz w:val="20"/>
                <w:szCs w:val="20"/>
              </w:rPr>
            </w:pPr>
          </w:p>
          <w:p w14:paraId="4B8E6A74" w14:textId="77777777" w:rsidR="00233B30" w:rsidRPr="00233B30" w:rsidRDefault="00233B30" w:rsidP="00233B30">
            <w:pPr>
              <w:pStyle w:val="ListParagraph"/>
              <w:numPr>
                <w:ilvl w:val="0"/>
                <w:numId w:val="1"/>
              </w:numPr>
              <w:rPr>
                <w:sz w:val="20"/>
                <w:szCs w:val="20"/>
              </w:rPr>
            </w:pPr>
            <w:r>
              <w:rPr>
                <w:sz w:val="20"/>
                <w:szCs w:val="20"/>
              </w:rPr>
              <w:t>It is now in Highland Council ownership – does that mean it was alienated from the Burgh? If so, when did this happen?</w:t>
            </w:r>
          </w:p>
        </w:tc>
        <w:tc>
          <w:tcPr>
            <w:tcW w:w="7480" w:type="dxa"/>
          </w:tcPr>
          <w:p w14:paraId="4B8E6A75" w14:textId="77777777" w:rsidR="008E31F0" w:rsidRDefault="00233B30" w:rsidP="00652584">
            <w:pPr>
              <w:rPr>
                <w:b/>
                <w:sz w:val="20"/>
                <w:szCs w:val="20"/>
              </w:rPr>
            </w:pPr>
            <w:r>
              <w:rPr>
                <w:b/>
                <w:sz w:val="20"/>
                <w:szCs w:val="20"/>
              </w:rPr>
              <w:t>Torvean Quarry</w:t>
            </w:r>
          </w:p>
          <w:p w14:paraId="4B8E6A77" w14:textId="606CD6F6" w:rsidR="00F54416" w:rsidRDefault="00233B30" w:rsidP="00F54416">
            <w:pPr>
              <w:pStyle w:val="ListParagraph"/>
              <w:numPr>
                <w:ilvl w:val="0"/>
                <w:numId w:val="2"/>
              </w:numPr>
              <w:rPr>
                <w:sz w:val="20"/>
                <w:szCs w:val="20"/>
              </w:rPr>
            </w:pPr>
            <w:r w:rsidRPr="003502F3">
              <w:rPr>
                <w:sz w:val="20"/>
                <w:szCs w:val="20"/>
              </w:rPr>
              <w:t xml:space="preserve">Land including the site of Torvean Quarry was purchased by the Burgh in 1923. It was not acquired for any purpose consistent with Common Good and has not been held on the Common Good account since purchase. </w:t>
            </w:r>
            <w:r w:rsidR="003502F3">
              <w:rPr>
                <w:sz w:val="20"/>
                <w:szCs w:val="20"/>
              </w:rPr>
              <w:t>Abstracts of Accounts show that mines, minerals and quarries were all held as part of the general fund rating account of the former Burgh of Inverness. Further checks of the accounts for around the period of the lease in 1957 show the income for abstraction from Torvean sand pit being paid into the Burgh general rating fund and not the Common Good fund.</w:t>
            </w:r>
          </w:p>
          <w:p w14:paraId="4A7F817E" w14:textId="77777777" w:rsidR="003502F3" w:rsidRPr="003502F3" w:rsidRDefault="003502F3" w:rsidP="003502F3">
            <w:pPr>
              <w:pStyle w:val="ListParagraph"/>
              <w:rPr>
                <w:sz w:val="20"/>
                <w:szCs w:val="20"/>
              </w:rPr>
            </w:pPr>
          </w:p>
          <w:p w14:paraId="7D5434ED" w14:textId="4209B4B2" w:rsidR="00233B30" w:rsidRDefault="009156D4" w:rsidP="00A22CD0">
            <w:pPr>
              <w:pStyle w:val="ListParagraph"/>
              <w:numPr>
                <w:ilvl w:val="0"/>
                <w:numId w:val="2"/>
              </w:numPr>
              <w:rPr>
                <w:sz w:val="20"/>
                <w:szCs w:val="20"/>
              </w:rPr>
            </w:pPr>
            <w:r>
              <w:rPr>
                <w:sz w:val="20"/>
                <w:szCs w:val="20"/>
              </w:rPr>
              <w:t>The quarry has never been a Common Good asset. It transferred to the Highland Council via the Local Government (Scotland) Act 1973 and the Local Government etc. (Scotland) Act 1994.</w:t>
            </w:r>
          </w:p>
          <w:p w14:paraId="4B8E6A78" w14:textId="6F3DB387" w:rsidR="007349F9" w:rsidRPr="007349F9" w:rsidRDefault="007349F9" w:rsidP="007349F9">
            <w:pPr>
              <w:pStyle w:val="ListParagraph"/>
              <w:rPr>
                <w:sz w:val="20"/>
                <w:szCs w:val="20"/>
              </w:rPr>
            </w:pPr>
          </w:p>
        </w:tc>
      </w:tr>
      <w:tr w:rsidR="008E31F0" w:rsidRPr="008E31F0" w14:paraId="4B8E6A7E" w14:textId="77777777" w:rsidTr="00D8317B">
        <w:tc>
          <w:tcPr>
            <w:tcW w:w="7688" w:type="dxa"/>
          </w:tcPr>
          <w:p w14:paraId="4B8E6A7A" w14:textId="1897AEB8" w:rsidR="008E31F0" w:rsidRDefault="001E4F31" w:rsidP="00652584">
            <w:pPr>
              <w:rPr>
                <w:b/>
                <w:sz w:val="20"/>
                <w:szCs w:val="20"/>
              </w:rPr>
            </w:pPr>
            <w:r>
              <w:rPr>
                <w:b/>
                <w:sz w:val="20"/>
                <w:szCs w:val="20"/>
              </w:rPr>
              <w:t>River Ness Fishings</w:t>
            </w:r>
          </w:p>
          <w:p w14:paraId="4B8E6A7B" w14:textId="77777777" w:rsidR="001E4F31" w:rsidRPr="001E4F31" w:rsidRDefault="001E4F31" w:rsidP="00652584">
            <w:pPr>
              <w:rPr>
                <w:sz w:val="20"/>
                <w:szCs w:val="20"/>
              </w:rPr>
            </w:pPr>
            <w:r>
              <w:rPr>
                <w:sz w:val="20"/>
                <w:szCs w:val="20"/>
              </w:rPr>
              <w:t>Should the description of the fishings be the same as the description for the River?</w:t>
            </w:r>
          </w:p>
        </w:tc>
        <w:tc>
          <w:tcPr>
            <w:tcW w:w="7480" w:type="dxa"/>
          </w:tcPr>
          <w:p w14:paraId="4B8E6A7C" w14:textId="77777777" w:rsidR="008E31F0" w:rsidRDefault="001E4F31" w:rsidP="00652584">
            <w:pPr>
              <w:rPr>
                <w:b/>
                <w:sz w:val="20"/>
                <w:szCs w:val="20"/>
              </w:rPr>
            </w:pPr>
            <w:r>
              <w:rPr>
                <w:b/>
                <w:sz w:val="20"/>
                <w:szCs w:val="20"/>
              </w:rPr>
              <w:t>River Ness Fishings</w:t>
            </w:r>
          </w:p>
          <w:p w14:paraId="589265D2" w14:textId="77777777" w:rsidR="001E4F31" w:rsidRDefault="009156D4" w:rsidP="00652584">
            <w:pPr>
              <w:rPr>
                <w:sz w:val="20"/>
                <w:szCs w:val="20"/>
              </w:rPr>
            </w:pPr>
            <w:r>
              <w:rPr>
                <w:sz w:val="20"/>
                <w:szCs w:val="20"/>
              </w:rPr>
              <w:t>This comment is noted. The register will be amended to show the River Ness and the fishing rights as a separate entry to the foreshore</w:t>
            </w:r>
            <w:r w:rsidR="003200C6">
              <w:rPr>
                <w:sz w:val="20"/>
                <w:szCs w:val="20"/>
              </w:rPr>
              <w:t>.</w:t>
            </w:r>
          </w:p>
          <w:p w14:paraId="4B8E6A7D" w14:textId="55EA72FF" w:rsidR="00EA743F" w:rsidRPr="001E4F31" w:rsidRDefault="00EA743F" w:rsidP="00652584">
            <w:pPr>
              <w:rPr>
                <w:sz w:val="20"/>
                <w:szCs w:val="20"/>
              </w:rPr>
            </w:pPr>
          </w:p>
        </w:tc>
      </w:tr>
      <w:tr w:rsidR="008E31F0" w:rsidRPr="008E31F0" w14:paraId="4B8E6A83" w14:textId="77777777" w:rsidTr="00D8317B">
        <w:tc>
          <w:tcPr>
            <w:tcW w:w="7688" w:type="dxa"/>
          </w:tcPr>
          <w:p w14:paraId="4B8E6A7F" w14:textId="77777777" w:rsidR="008E31F0" w:rsidRDefault="009E519E" w:rsidP="00652584">
            <w:pPr>
              <w:rPr>
                <w:b/>
                <w:sz w:val="20"/>
                <w:szCs w:val="20"/>
              </w:rPr>
            </w:pPr>
            <w:r>
              <w:rPr>
                <w:b/>
                <w:sz w:val="20"/>
                <w:szCs w:val="20"/>
              </w:rPr>
              <w:t>Bught Park</w:t>
            </w:r>
          </w:p>
          <w:p w14:paraId="4B8E6A80" w14:textId="77777777" w:rsidR="009E519E" w:rsidRPr="00BF75D8" w:rsidRDefault="00BF75D8" w:rsidP="00BF75D8">
            <w:pPr>
              <w:rPr>
                <w:sz w:val="20"/>
                <w:szCs w:val="20"/>
              </w:rPr>
            </w:pPr>
            <w:r>
              <w:rPr>
                <w:sz w:val="20"/>
                <w:szCs w:val="20"/>
              </w:rPr>
              <w:t xml:space="preserve">Highland </w:t>
            </w:r>
            <w:r w:rsidRPr="00BF75D8">
              <w:rPr>
                <w:sz w:val="20"/>
                <w:szCs w:val="20"/>
              </w:rPr>
              <w:t>Council obtained</w:t>
            </w:r>
            <w:r>
              <w:rPr>
                <w:sz w:val="20"/>
                <w:szCs w:val="20"/>
              </w:rPr>
              <w:t xml:space="preserve"> Counsel’s opinion on the status of Bught Park. This opinion was based on few known facts and case law considered to be relevant. It concluded that Bught Park was not Common Good. A different expert might hold a different opinion and therefore Counsel’s opinion should be reviewed.</w:t>
            </w:r>
          </w:p>
        </w:tc>
        <w:tc>
          <w:tcPr>
            <w:tcW w:w="7480" w:type="dxa"/>
          </w:tcPr>
          <w:p w14:paraId="4B8E6A81" w14:textId="77777777" w:rsidR="008E31F0" w:rsidRDefault="00BF75D8" w:rsidP="00652584">
            <w:pPr>
              <w:rPr>
                <w:b/>
                <w:sz w:val="20"/>
                <w:szCs w:val="20"/>
              </w:rPr>
            </w:pPr>
            <w:r>
              <w:rPr>
                <w:b/>
                <w:sz w:val="20"/>
                <w:szCs w:val="20"/>
              </w:rPr>
              <w:t>Bught Park</w:t>
            </w:r>
          </w:p>
          <w:p w14:paraId="791AED37" w14:textId="647457B5" w:rsidR="00BF75D8" w:rsidRDefault="00BF75D8" w:rsidP="00BF75D8">
            <w:pPr>
              <w:rPr>
                <w:sz w:val="20"/>
                <w:szCs w:val="20"/>
              </w:rPr>
            </w:pPr>
            <w:r>
              <w:rPr>
                <w:sz w:val="20"/>
                <w:szCs w:val="20"/>
              </w:rPr>
              <w:t xml:space="preserve">Counsel </w:t>
            </w:r>
            <w:r w:rsidR="000F7F23">
              <w:rPr>
                <w:sz w:val="20"/>
                <w:szCs w:val="20"/>
              </w:rPr>
              <w:t>who</w:t>
            </w:r>
            <w:r>
              <w:rPr>
                <w:sz w:val="20"/>
                <w:szCs w:val="20"/>
              </w:rPr>
              <w:t xml:space="preserve"> was instructed to provide the opinion is an expert in his field and has provided opinions on Common Good matters for the Council in the past. Bught Park was one part of a larger acquisition known collectively as the lands and estate of Bught (see comments re Torvean Quarry above). </w:t>
            </w:r>
            <w:r w:rsidR="00086141">
              <w:rPr>
                <w:sz w:val="20"/>
                <w:szCs w:val="20"/>
              </w:rPr>
              <w:t>Counsel concluded that the purchase was not for Common Good purposes and at no point since acquisition in 1923 had any part of the lands been held on the Burgh/Council’s Common Good account. The facts have not changed since this opinion was obtained and the Council does not consider a second opinion to be justified.</w:t>
            </w:r>
            <w:r>
              <w:rPr>
                <w:sz w:val="20"/>
                <w:szCs w:val="20"/>
              </w:rPr>
              <w:t xml:space="preserve"> </w:t>
            </w:r>
          </w:p>
          <w:p w14:paraId="4B8E6A82" w14:textId="77777777" w:rsidR="003502F3" w:rsidRPr="00BF75D8" w:rsidRDefault="003502F3" w:rsidP="00BF75D8">
            <w:pPr>
              <w:rPr>
                <w:sz w:val="20"/>
                <w:szCs w:val="20"/>
              </w:rPr>
            </w:pPr>
          </w:p>
        </w:tc>
      </w:tr>
      <w:tr w:rsidR="008E31F0" w:rsidRPr="008E31F0" w14:paraId="4B8E6A8A" w14:textId="77777777" w:rsidTr="00D8317B">
        <w:tc>
          <w:tcPr>
            <w:tcW w:w="7688" w:type="dxa"/>
          </w:tcPr>
          <w:p w14:paraId="4B8E6A84" w14:textId="77777777" w:rsidR="008E31F0" w:rsidRDefault="00C14155" w:rsidP="00652584">
            <w:pPr>
              <w:rPr>
                <w:b/>
                <w:sz w:val="20"/>
                <w:szCs w:val="20"/>
              </w:rPr>
            </w:pPr>
            <w:r>
              <w:rPr>
                <w:b/>
                <w:sz w:val="20"/>
                <w:szCs w:val="20"/>
              </w:rPr>
              <w:lastRenderedPageBreak/>
              <w:t>Lamp posts</w:t>
            </w:r>
          </w:p>
          <w:p w14:paraId="4B8E6A85" w14:textId="77777777" w:rsidR="00C14155" w:rsidRPr="00C14155" w:rsidRDefault="00C14155" w:rsidP="00652584">
            <w:pPr>
              <w:rPr>
                <w:sz w:val="20"/>
                <w:szCs w:val="20"/>
              </w:rPr>
            </w:pPr>
            <w:r>
              <w:rPr>
                <w:sz w:val="20"/>
                <w:szCs w:val="20"/>
              </w:rPr>
              <w:t>Should the ceremonial lamp posts</w:t>
            </w:r>
            <w:r w:rsidR="00D8317B">
              <w:rPr>
                <w:sz w:val="20"/>
                <w:szCs w:val="20"/>
              </w:rPr>
              <w:t xml:space="preserve"> located outside the Provost and Depute Provost houses be included as Common Good assets?</w:t>
            </w:r>
          </w:p>
        </w:tc>
        <w:tc>
          <w:tcPr>
            <w:tcW w:w="7480" w:type="dxa"/>
          </w:tcPr>
          <w:p w14:paraId="4B8E6A86" w14:textId="77777777" w:rsidR="008E31F0" w:rsidRDefault="00D8317B" w:rsidP="00652584">
            <w:pPr>
              <w:rPr>
                <w:b/>
                <w:sz w:val="20"/>
                <w:szCs w:val="20"/>
              </w:rPr>
            </w:pPr>
            <w:r>
              <w:rPr>
                <w:b/>
                <w:sz w:val="20"/>
                <w:szCs w:val="20"/>
              </w:rPr>
              <w:t>Lamp posts</w:t>
            </w:r>
          </w:p>
          <w:p w14:paraId="4B8E6A87" w14:textId="77777777" w:rsidR="007C30A1" w:rsidRPr="007C30A1" w:rsidRDefault="007C30A1" w:rsidP="007C30A1">
            <w:pPr>
              <w:pStyle w:val="ListParagraph"/>
              <w:numPr>
                <w:ilvl w:val="0"/>
                <w:numId w:val="3"/>
              </w:numPr>
              <w:rPr>
                <w:sz w:val="20"/>
                <w:szCs w:val="20"/>
              </w:rPr>
            </w:pPr>
            <w:r w:rsidRPr="007C30A1">
              <w:rPr>
                <w:sz w:val="20"/>
                <w:szCs w:val="20"/>
              </w:rPr>
              <w:t xml:space="preserve">The Provost has </w:t>
            </w:r>
            <w:r>
              <w:rPr>
                <w:sz w:val="20"/>
                <w:szCs w:val="20"/>
              </w:rPr>
              <w:t>two</w:t>
            </w:r>
            <w:r w:rsidRPr="007C30A1">
              <w:rPr>
                <w:sz w:val="20"/>
                <w:szCs w:val="20"/>
              </w:rPr>
              <w:t xml:space="preserve"> decorative</w:t>
            </w:r>
            <w:r>
              <w:rPr>
                <w:sz w:val="20"/>
                <w:szCs w:val="20"/>
              </w:rPr>
              <w:t xml:space="preserve"> lamp posts outside their home whilst in office. When the Provost changes one pole is removed. The Depute Provost does not have a decorative pole outside their house.</w:t>
            </w:r>
          </w:p>
          <w:p w14:paraId="4B8E6A88" w14:textId="77777777" w:rsidR="00D2459F" w:rsidRDefault="007C30A1" w:rsidP="007C30A1">
            <w:pPr>
              <w:pStyle w:val="ListParagraph"/>
              <w:numPr>
                <w:ilvl w:val="0"/>
                <w:numId w:val="3"/>
              </w:numPr>
              <w:rPr>
                <w:sz w:val="20"/>
                <w:szCs w:val="20"/>
              </w:rPr>
            </w:pPr>
            <w:r w:rsidRPr="007C30A1">
              <w:rPr>
                <w:sz w:val="20"/>
                <w:szCs w:val="20"/>
              </w:rPr>
              <w:t>Enquiries have confirmed that the Inverness Common</w:t>
            </w:r>
            <w:r>
              <w:rPr>
                <w:sz w:val="20"/>
                <w:szCs w:val="20"/>
              </w:rPr>
              <w:t xml:space="preserve"> Good Fund pays for the lamp posts and installation only with the maintenance and electricity costs being covered by the Council lighting maintenance budget.</w:t>
            </w:r>
          </w:p>
          <w:p w14:paraId="61114F5B" w14:textId="77777777" w:rsidR="007C30A1" w:rsidRDefault="007C30A1" w:rsidP="007C30A1">
            <w:pPr>
              <w:pStyle w:val="ListParagraph"/>
              <w:numPr>
                <w:ilvl w:val="0"/>
                <w:numId w:val="3"/>
              </w:numPr>
              <w:rPr>
                <w:sz w:val="20"/>
                <w:szCs w:val="20"/>
              </w:rPr>
            </w:pPr>
            <w:r>
              <w:rPr>
                <w:sz w:val="20"/>
                <w:szCs w:val="20"/>
              </w:rPr>
              <w:t>An entry referencing the lamp posts will be added to the Inverness list of Common Good assets.</w:t>
            </w:r>
          </w:p>
          <w:p w14:paraId="4B8E6A89" w14:textId="77777777" w:rsidR="003502F3" w:rsidRPr="007C30A1" w:rsidRDefault="003502F3" w:rsidP="003502F3">
            <w:pPr>
              <w:pStyle w:val="ListParagraph"/>
              <w:rPr>
                <w:sz w:val="20"/>
                <w:szCs w:val="20"/>
              </w:rPr>
            </w:pPr>
          </w:p>
        </w:tc>
      </w:tr>
      <w:tr w:rsidR="008E31F0" w:rsidRPr="008E31F0" w14:paraId="4B8E6A8F" w14:textId="77777777" w:rsidTr="00D8317B">
        <w:tc>
          <w:tcPr>
            <w:tcW w:w="7688" w:type="dxa"/>
          </w:tcPr>
          <w:p w14:paraId="4B8E6A8B" w14:textId="77777777" w:rsidR="008E31F0" w:rsidRDefault="00C14155" w:rsidP="00652584">
            <w:pPr>
              <w:rPr>
                <w:b/>
                <w:sz w:val="20"/>
                <w:szCs w:val="20"/>
              </w:rPr>
            </w:pPr>
            <w:r>
              <w:rPr>
                <w:b/>
                <w:sz w:val="20"/>
                <w:szCs w:val="20"/>
              </w:rPr>
              <w:t>Extent of assets</w:t>
            </w:r>
          </w:p>
          <w:p w14:paraId="4B8E6A8C" w14:textId="77777777" w:rsidR="00D8317B" w:rsidRPr="00D2459F" w:rsidRDefault="00D2459F" w:rsidP="00652584">
            <w:pPr>
              <w:rPr>
                <w:sz w:val="20"/>
                <w:szCs w:val="20"/>
              </w:rPr>
            </w:pPr>
            <w:r>
              <w:rPr>
                <w:sz w:val="20"/>
                <w:szCs w:val="20"/>
              </w:rPr>
              <w:t>It can be difficult to interpret the descriptions particularly in the industrial estate areas. Will a map showing the assets be produced once the register is finalised?</w:t>
            </w:r>
          </w:p>
        </w:tc>
        <w:tc>
          <w:tcPr>
            <w:tcW w:w="7480" w:type="dxa"/>
          </w:tcPr>
          <w:p w14:paraId="4B8E6A8D" w14:textId="77777777" w:rsidR="008E31F0" w:rsidRDefault="00D8317B" w:rsidP="00652584">
            <w:pPr>
              <w:rPr>
                <w:b/>
                <w:sz w:val="20"/>
                <w:szCs w:val="20"/>
              </w:rPr>
            </w:pPr>
            <w:r>
              <w:rPr>
                <w:b/>
                <w:sz w:val="20"/>
                <w:szCs w:val="20"/>
              </w:rPr>
              <w:t>Extent of assets</w:t>
            </w:r>
          </w:p>
          <w:p w14:paraId="190B498C" w14:textId="6116D6B9" w:rsidR="00D2459F" w:rsidRDefault="00AB6AF7" w:rsidP="00AB6AF7">
            <w:pPr>
              <w:rPr>
                <w:sz w:val="20"/>
                <w:szCs w:val="20"/>
              </w:rPr>
            </w:pPr>
            <w:r>
              <w:rPr>
                <w:sz w:val="20"/>
                <w:szCs w:val="20"/>
              </w:rPr>
              <w:t>A</w:t>
            </w:r>
            <w:r w:rsidR="00EA743F">
              <w:rPr>
                <w:sz w:val="20"/>
                <w:szCs w:val="20"/>
              </w:rPr>
              <w:t xml:space="preserve"> link to a map of the Highland Council Common Good land and buildings has been requested however there are other current projects ahead of it pending completion</w:t>
            </w:r>
            <w:r w:rsidR="00D2459F">
              <w:rPr>
                <w:sz w:val="20"/>
                <w:szCs w:val="20"/>
              </w:rPr>
              <w:t xml:space="preserve">. </w:t>
            </w:r>
          </w:p>
          <w:p w14:paraId="4B8E6A8E" w14:textId="77777777" w:rsidR="003502F3" w:rsidRPr="00D2459F" w:rsidRDefault="003502F3" w:rsidP="00AB6AF7">
            <w:pPr>
              <w:rPr>
                <w:color w:val="FF0000"/>
                <w:sz w:val="20"/>
                <w:szCs w:val="20"/>
              </w:rPr>
            </w:pPr>
          </w:p>
        </w:tc>
      </w:tr>
      <w:tr w:rsidR="008E31F0" w:rsidRPr="008E31F0" w14:paraId="4B8E6A9C" w14:textId="77777777" w:rsidTr="00D8317B">
        <w:tc>
          <w:tcPr>
            <w:tcW w:w="7688" w:type="dxa"/>
          </w:tcPr>
          <w:p w14:paraId="4B8E6A90" w14:textId="77777777" w:rsidR="008E31F0" w:rsidRDefault="00F54416" w:rsidP="00652584">
            <w:pPr>
              <w:rPr>
                <w:b/>
                <w:sz w:val="20"/>
                <w:szCs w:val="20"/>
              </w:rPr>
            </w:pPr>
            <w:r>
              <w:rPr>
                <w:b/>
                <w:sz w:val="20"/>
                <w:szCs w:val="20"/>
              </w:rPr>
              <w:t>Bridges and public toilets</w:t>
            </w:r>
          </w:p>
          <w:p w14:paraId="4B8E6A91" w14:textId="77777777" w:rsidR="00F54416" w:rsidRDefault="00F54416" w:rsidP="00F54416">
            <w:pPr>
              <w:pStyle w:val="ListParagraph"/>
              <w:numPr>
                <w:ilvl w:val="0"/>
                <w:numId w:val="4"/>
              </w:numPr>
              <w:rPr>
                <w:sz w:val="20"/>
                <w:szCs w:val="20"/>
              </w:rPr>
            </w:pPr>
            <w:r>
              <w:rPr>
                <w:sz w:val="20"/>
                <w:szCs w:val="20"/>
              </w:rPr>
              <w:t>Re-open the public toilets.</w:t>
            </w:r>
          </w:p>
          <w:p w14:paraId="4B8E6A92" w14:textId="77777777" w:rsidR="00F54416" w:rsidRDefault="00F54416" w:rsidP="00F54416">
            <w:pPr>
              <w:pStyle w:val="ListParagraph"/>
              <w:rPr>
                <w:sz w:val="20"/>
                <w:szCs w:val="20"/>
              </w:rPr>
            </w:pPr>
          </w:p>
          <w:p w14:paraId="4B8E6A93" w14:textId="77777777" w:rsidR="00F54416" w:rsidRDefault="00F54416" w:rsidP="00F54416">
            <w:pPr>
              <w:pStyle w:val="ListParagraph"/>
              <w:numPr>
                <w:ilvl w:val="0"/>
                <w:numId w:val="4"/>
              </w:numPr>
              <w:rPr>
                <w:sz w:val="20"/>
                <w:szCs w:val="20"/>
              </w:rPr>
            </w:pPr>
            <w:r>
              <w:rPr>
                <w:sz w:val="20"/>
                <w:szCs w:val="20"/>
              </w:rPr>
              <w:t>Repair and paint the footbridges over the Ness.</w:t>
            </w:r>
          </w:p>
          <w:p w14:paraId="4B8E6A94" w14:textId="77777777" w:rsidR="00F54416" w:rsidRPr="00F54416" w:rsidRDefault="00F54416" w:rsidP="00F54416">
            <w:pPr>
              <w:pStyle w:val="ListParagraph"/>
              <w:rPr>
                <w:sz w:val="20"/>
                <w:szCs w:val="20"/>
              </w:rPr>
            </w:pPr>
          </w:p>
          <w:p w14:paraId="4B8E6A95" w14:textId="77777777" w:rsidR="00F54416" w:rsidRPr="00F54416" w:rsidRDefault="00F54416" w:rsidP="00F54416">
            <w:pPr>
              <w:pStyle w:val="ListParagraph"/>
              <w:numPr>
                <w:ilvl w:val="0"/>
                <w:numId w:val="4"/>
              </w:numPr>
              <w:rPr>
                <w:sz w:val="20"/>
                <w:szCs w:val="20"/>
              </w:rPr>
            </w:pPr>
            <w:r>
              <w:rPr>
                <w:sz w:val="20"/>
                <w:szCs w:val="20"/>
              </w:rPr>
              <w:t>Provide a decent playground for Central Primary School.</w:t>
            </w:r>
          </w:p>
        </w:tc>
        <w:tc>
          <w:tcPr>
            <w:tcW w:w="7480" w:type="dxa"/>
          </w:tcPr>
          <w:p w14:paraId="4B8E6A96" w14:textId="77777777" w:rsidR="008E31F0" w:rsidRDefault="00F54416" w:rsidP="00652584">
            <w:pPr>
              <w:rPr>
                <w:b/>
                <w:sz w:val="20"/>
                <w:szCs w:val="20"/>
              </w:rPr>
            </w:pPr>
            <w:r>
              <w:rPr>
                <w:b/>
                <w:sz w:val="20"/>
                <w:szCs w:val="20"/>
              </w:rPr>
              <w:t>Bridges and public toilets</w:t>
            </w:r>
          </w:p>
          <w:p w14:paraId="4B8E6A97" w14:textId="77777777" w:rsidR="00F54416" w:rsidRDefault="00F54416" w:rsidP="00F54416">
            <w:pPr>
              <w:pStyle w:val="ListParagraph"/>
              <w:numPr>
                <w:ilvl w:val="0"/>
                <w:numId w:val="5"/>
              </w:numPr>
              <w:rPr>
                <w:sz w:val="20"/>
                <w:szCs w:val="20"/>
              </w:rPr>
            </w:pPr>
            <w:r>
              <w:rPr>
                <w:sz w:val="20"/>
                <w:szCs w:val="20"/>
              </w:rPr>
              <w:t>The Castle Wynd toilets are kept open seasonally due to Common Good funding subject to annual review.</w:t>
            </w:r>
          </w:p>
          <w:p w14:paraId="4B8E6A98" w14:textId="77777777" w:rsidR="00F54416" w:rsidRDefault="00F54416" w:rsidP="00F54416">
            <w:pPr>
              <w:pStyle w:val="ListParagraph"/>
              <w:rPr>
                <w:sz w:val="20"/>
                <w:szCs w:val="20"/>
              </w:rPr>
            </w:pPr>
          </w:p>
          <w:p w14:paraId="4B8E6A99" w14:textId="77777777" w:rsidR="00F54416" w:rsidRDefault="00F54416" w:rsidP="00F54416">
            <w:pPr>
              <w:pStyle w:val="ListParagraph"/>
              <w:numPr>
                <w:ilvl w:val="0"/>
                <w:numId w:val="5"/>
              </w:numPr>
              <w:rPr>
                <w:sz w:val="20"/>
                <w:szCs w:val="20"/>
              </w:rPr>
            </w:pPr>
            <w:r>
              <w:rPr>
                <w:sz w:val="20"/>
                <w:szCs w:val="20"/>
              </w:rPr>
              <w:t>There has been recent restoration undertaken to the bridges in and around the Ness Islands as this area of Inverness is land held as Common Good land.</w:t>
            </w:r>
          </w:p>
          <w:p w14:paraId="4B8E6A9A" w14:textId="77777777" w:rsidR="00F54416" w:rsidRPr="00F54416" w:rsidRDefault="00F54416" w:rsidP="00F54416">
            <w:pPr>
              <w:pStyle w:val="ListParagraph"/>
              <w:rPr>
                <w:sz w:val="20"/>
                <w:szCs w:val="20"/>
              </w:rPr>
            </w:pPr>
          </w:p>
          <w:p w14:paraId="54FD9830" w14:textId="77777777" w:rsidR="00F54416" w:rsidRDefault="00F54416" w:rsidP="00F54416">
            <w:pPr>
              <w:pStyle w:val="ListParagraph"/>
              <w:numPr>
                <w:ilvl w:val="0"/>
                <w:numId w:val="5"/>
              </w:numPr>
              <w:rPr>
                <w:sz w:val="20"/>
                <w:szCs w:val="20"/>
              </w:rPr>
            </w:pPr>
            <w:r>
              <w:rPr>
                <w:sz w:val="20"/>
                <w:szCs w:val="20"/>
              </w:rPr>
              <w:t>In general, this would fall outwith the scope of Common Good funding although there would be nothing to prevent an application for an identified piece of equipment being made either to Common Good fund or Ward Discretionary funding subject to it meeting the conditions and requirements for such applications which can be found on the Council website.</w:t>
            </w:r>
          </w:p>
          <w:p w14:paraId="4B8E6A9B" w14:textId="746A96C6" w:rsidR="003502F3" w:rsidRPr="003502F3" w:rsidRDefault="003502F3" w:rsidP="003502F3">
            <w:pPr>
              <w:pStyle w:val="ListParagraph"/>
              <w:rPr>
                <w:sz w:val="20"/>
                <w:szCs w:val="20"/>
              </w:rPr>
            </w:pPr>
          </w:p>
        </w:tc>
      </w:tr>
    </w:tbl>
    <w:p w14:paraId="4B8E6A9D" w14:textId="77777777" w:rsidR="008E31F0" w:rsidRPr="008E31F0" w:rsidRDefault="008E31F0" w:rsidP="008E31F0">
      <w:pPr>
        <w:jc w:val="center"/>
        <w:rPr>
          <w:b/>
        </w:rPr>
      </w:pPr>
    </w:p>
    <w:sectPr w:rsidR="008E31F0" w:rsidRPr="008E31F0" w:rsidSect="008E31F0">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1D73B" w14:textId="77777777" w:rsidR="00531B30" w:rsidRDefault="00531B30" w:rsidP="009156D4">
      <w:pPr>
        <w:spacing w:after="0" w:line="240" w:lineRule="auto"/>
      </w:pPr>
      <w:r>
        <w:separator/>
      </w:r>
    </w:p>
  </w:endnote>
  <w:endnote w:type="continuationSeparator" w:id="0">
    <w:p w14:paraId="4D7DB7E3" w14:textId="77777777" w:rsidR="00531B30" w:rsidRDefault="00531B30" w:rsidP="00915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6379"/>
      <w:gridCol w:w="1417"/>
      <w:gridCol w:w="6378"/>
    </w:tblGrid>
    <w:tr w:rsidR="009156D4" w14:paraId="6F132108" w14:textId="77777777">
      <w:trPr>
        <w:trHeight w:val="151"/>
      </w:trPr>
      <w:tc>
        <w:tcPr>
          <w:tcW w:w="2250" w:type="pct"/>
          <w:tcBorders>
            <w:bottom w:val="single" w:sz="4" w:space="0" w:color="4F81BD" w:themeColor="accent1"/>
          </w:tcBorders>
        </w:tcPr>
        <w:p w14:paraId="57CA95CB" w14:textId="08E0F551" w:rsidR="009156D4" w:rsidRDefault="009156D4">
          <w:pPr>
            <w:pStyle w:val="Header"/>
            <w:rPr>
              <w:rFonts w:asciiTheme="majorHAnsi" w:eastAsiaTheme="majorEastAsia" w:hAnsiTheme="majorHAnsi" w:cstheme="majorBidi"/>
              <w:b/>
              <w:bCs/>
            </w:rPr>
          </w:pPr>
          <w:r>
            <w:rPr>
              <w:rFonts w:asciiTheme="majorHAnsi" w:eastAsiaTheme="majorEastAsia" w:hAnsiTheme="majorHAnsi" w:cstheme="majorBidi"/>
              <w:b/>
              <w:bCs/>
            </w:rPr>
            <w:t>D</w:t>
          </w:r>
          <w:r w:rsidR="00F12919">
            <w:rPr>
              <w:rFonts w:asciiTheme="majorHAnsi" w:eastAsiaTheme="majorEastAsia" w:hAnsiTheme="majorHAnsi" w:cstheme="majorBidi"/>
              <w:b/>
              <w:bCs/>
            </w:rPr>
            <w:t>ecember 2019</w:t>
          </w:r>
        </w:p>
      </w:tc>
      <w:tc>
        <w:tcPr>
          <w:tcW w:w="500" w:type="pct"/>
          <w:vMerge w:val="restart"/>
          <w:noWrap/>
          <w:vAlign w:val="center"/>
        </w:tcPr>
        <w:p w14:paraId="11E1805D" w14:textId="77777777" w:rsidR="009156D4" w:rsidRDefault="009156D4">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00EA743F" w:rsidRPr="00EA743F">
            <w:rPr>
              <w:rFonts w:asciiTheme="majorHAnsi" w:eastAsiaTheme="majorEastAsia" w:hAnsiTheme="majorHAnsi" w:cstheme="majorBidi"/>
              <w:b/>
              <w:bCs/>
              <w:noProof/>
            </w:rPr>
            <w:t>2</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14:paraId="13062DAE" w14:textId="77777777" w:rsidR="009156D4" w:rsidRDefault="009156D4">
          <w:pPr>
            <w:pStyle w:val="Header"/>
            <w:rPr>
              <w:rFonts w:asciiTheme="majorHAnsi" w:eastAsiaTheme="majorEastAsia" w:hAnsiTheme="majorHAnsi" w:cstheme="majorBidi"/>
              <w:b/>
              <w:bCs/>
            </w:rPr>
          </w:pPr>
        </w:p>
      </w:tc>
    </w:tr>
    <w:tr w:rsidR="009156D4" w14:paraId="46002207" w14:textId="77777777">
      <w:trPr>
        <w:trHeight w:val="150"/>
      </w:trPr>
      <w:tc>
        <w:tcPr>
          <w:tcW w:w="2250" w:type="pct"/>
          <w:tcBorders>
            <w:top w:val="single" w:sz="4" w:space="0" w:color="4F81BD" w:themeColor="accent1"/>
          </w:tcBorders>
        </w:tcPr>
        <w:p w14:paraId="4BE73248" w14:textId="77777777" w:rsidR="009156D4" w:rsidRDefault="009156D4">
          <w:pPr>
            <w:pStyle w:val="Header"/>
            <w:rPr>
              <w:rFonts w:asciiTheme="majorHAnsi" w:eastAsiaTheme="majorEastAsia" w:hAnsiTheme="majorHAnsi" w:cstheme="majorBidi"/>
              <w:b/>
              <w:bCs/>
            </w:rPr>
          </w:pPr>
        </w:p>
      </w:tc>
      <w:tc>
        <w:tcPr>
          <w:tcW w:w="500" w:type="pct"/>
          <w:vMerge/>
        </w:tcPr>
        <w:p w14:paraId="7F80D017" w14:textId="77777777" w:rsidR="009156D4" w:rsidRDefault="009156D4">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0BBBFDB1" w14:textId="77777777" w:rsidR="009156D4" w:rsidRDefault="009156D4">
          <w:pPr>
            <w:pStyle w:val="Header"/>
            <w:rPr>
              <w:rFonts w:asciiTheme="majorHAnsi" w:eastAsiaTheme="majorEastAsia" w:hAnsiTheme="majorHAnsi" w:cstheme="majorBidi"/>
              <w:b/>
              <w:bCs/>
            </w:rPr>
          </w:pPr>
        </w:p>
      </w:tc>
    </w:tr>
  </w:tbl>
  <w:p w14:paraId="172E1C3D" w14:textId="77777777" w:rsidR="009156D4" w:rsidRDefault="00915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9B2BD" w14:textId="77777777" w:rsidR="00531B30" w:rsidRDefault="00531B30" w:rsidP="009156D4">
      <w:pPr>
        <w:spacing w:after="0" w:line="240" w:lineRule="auto"/>
      </w:pPr>
      <w:r>
        <w:separator/>
      </w:r>
    </w:p>
  </w:footnote>
  <w:footnote w:type="continuationSeparator" w:id="0">
    <w:p w14:paraId="76B3F508" w14:textId="77777777" w:rsidR="00531B30" w:rsidRDefault="00531B30" w:rsidP="00915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785BA" w14:textId="65DA378F" w:rsidR="009156D4" w:rsidRDefault="009156D4" w:rsidP="009156D4">
    <w:pPr>
      <w:pStyle w:val="Header"/>
      <w:jc w:val="right"/>
    </w:pPr>
    <w:r>
      <w:rPr>
        <w:noProof/>
        <w:lang w:eastAsia="en-GB"/>
      </w:rPr>
      <w:drawing>
        <wp:inline distT="0" distB="0" distL="0" distR="0" wp14:anchorId="5F0C16EF" wp14:editId="6B41B72D">
          <wp:extent cx="1222511" cy="616689"/>
          <wp:effectExtent l="0" t="0" r="0" b="0"/>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8723" cy="619822"/>
                  </a:xfrm>
                  <a:prstGeom prst="rect">
                    <a:avLst/>
                  </a:prstGeom>
                  <a:noFill/>
                  <a:ln>
                    <a:noFill/>
                  </a:ln>
                </pic:spPr>
              </pic:pic>
            </a:graphicData>
          </a:graphic>
        </wp:inline>
      </w:drawing>
    </w:r>
  </w:p>
  <w:p w14:paraId="7AB81335" w14:textId="77777777" w:rsidR="009156D4" w:rsidRDefault="009156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ECA"/>
    <w:multiLevelType w:val="hybridMultilevel"/>
    <w:tmpl w:val="02606A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EB0D47"/>
    <w:multiLevelType w:val="hybridMultilevel"/>
    <w:tmpl w:val="DBD86F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F87D72"/>
    <w:multiLevelType w:val="hybridMultilevel"/>
    <w:tmpl w:val="944CBE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A720DE"/>
    <w:multiLevelType w:val="hybridMultilevel"/>
    <w:tmpl w:val="639AA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147326"/>
    <w:multiLevelType w:val="hybridMultilevel"/>
    <w:tmpl w:val="6682F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9619298">
    <w:abstractNumId w:val="0"/>
  </w:num>
  <w:num w:numId="2" w16cid:durableId="960651632">
    <w:abstractNumId w:val="2"/>
  </w:num>
  <w:num w:numId="3" w16cid:durableId="482622817">
    <w:abstractNumId w:val="4"/>
  </w:num>
  <w:num w:numId="4" w16cid:durableId="1447697880">
    <w:abstractNumId w:val="1"/>
  </w:num>
  <w:num w:numId="5" w16cid:durableId="1253929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31F0"/>
    <w:rsid w:val="000547F5"/>
    <w:rsid w:val="00086141"/>
    <w:rsid w:val="000F7F23"/>
    <w:rsid w:val="001E4F31"/>
    <w:rsid w:val="00224430"/>
    <w:rsid w:val="00233B30"/>
    <w:rsid w:val="003200C6"/>
    <w:rsid w:val="003502F3"/>
    <w:rsid w:val="00531B30"/>
    <w:rsid w:val="005863AA"/>
    <w:rsid w:val="00652584"/>
    <w:rsid w:val="007349F9"/>
    <w:rsid w:val="007A0605"/>
    <w:rsid w:val="007C30A1"/>
    <w:rsid w:val="008E31F0"/>
    <w:rsid w:val="009156D4"/>
    <w:rsid w:val="009E519E"/>
    <w:rsid w:val="00A22CD0"/>
    <w:rsid w:val="00A43F5A"/>
    <w:rsid w:val="00A7235D"/>
    <w:rsid w:val="00AB6AF7"/>
    <w:rsid w:val="00BF75D8"/>
    <w:rsid w:val="00C14155"/>
    <w:rsid w:val="00CE6277"/>
    <w:rsid w:val="00CF45F8"/>
    <w:rsid w:val="00D2459F"/>
    <w:rsid w:val="00D8317B"/>
    <w:rsid w:val="00DF47CB"/>
    <w:rsid w:val="00E046A8"/>
    <w:rsid w:val="00E72672"/>
    <w:rsid w:val="00EA743F"/>
    <w:rsid w:val="00F12919"/>
    <w:rsid w:val="00F54416"/>
    <w:rsid w:val="00FD4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E6A68"/>
  <w15:docId w15:val="{B2E861A3-50BF-43BD-874B-464CB7F88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3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3B30"/>
    <w:pPr>
      <w:ind w:left="720"/>
      <w:contextualSpacing/>
    </w:pPr>
  </w:style>
  <w:style w:type="paragraph" w:styleId="Header">
    <w:name w:val="header"/>
    <w:basedOn w:val="Normal"/>
    <w:link w:val="HeaderChar"/>
    <w:uiPriority w:val="99"/>
    <w:unhideWhenUsed/>
    <w:rsid w:val="009156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6D4"/>
  </w:style>
  <w:style w:type="paragraph" w:styleId="Footer">
    <w:name w:val="footer"/>
    <w:basedOn w:val="Normal"/>
    <w:link w:val="FooterChar"/>
    <w:uiPriority w:val="99"/>
    <w:unhideWhenUsed/>
    <w:rsid w:val="009156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56D4"/>
  </w:style>
  <w:style w:type="paragraph" w:styleId="BalloonText">
    <w:name w:val="Balloon Text"/>
    <w:basedOn w:val="Normal"/>
    <w:link w:val="BalloonTextChar"/>
    <w:uiPriority w:val="99"/>
    <w:semiHidden/>
    <w:unhideWhenUsed/>
    <w:rsid w:val="009156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6D4"/>
    <w:rPr>
      <w:rFonts w:ascii="Tahoma" w:hAnsi="Tahoma" w:cs="Tahoma"/>
      <w:sz w:val="16"/>
      <w:szCs w:val="16"/>
    </w:rPr>
  </w:style>
  <w:style w:type="paragraph" w:styleId="NoSpacing">
    <w:name w:val="No Spacing"/>
    <w:link w:val="NoSpacingChar"/>
    <w:uiPriority w:val="1"/>
    <w:qFormat/>
    <w:rsid w:val="009156D4"/>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156D4"/>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BE436619591D47A7E6A9ED2EC0A7AB" ma:contentTypeVersion="11" ma:contentTypeDescription="Create a new document." ma:contentTypeScope="" ma:versionID="2086299966ff4358dd8d97422ea349d6">
  <xsd:schema xmlns:xsd="http://www.w3.org/2001/XMLSchema" xmlns:xs="http://www.w3.org/2001/XMLSchema" xmlns:p="http://schemas.microsoft.com/office/2006/metadata/properties" xmlns:ns3="2e53f7bb-87d0-4e1a-a6d1-4c3b647e4d1c" xmlns:ns4="16e2abe0-1689-4d14-b670-48dfa93481e9" targetNamespace="http://schemas.microsoft.com/office/2006/metadata/properties" ma:root="true" ma:fieldsID="6d8552aec50df75a84fa1de805675044" ns3:_="" ns4:_="">
    <xsd:import namespace="2e53f7bb-87d0-4e1a-a6d1-4c3b647e4d1c"/>
    <xsd:import namespace="16e2abe0-1689-4d14-b670-48dfa93481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3f7bb-87d0-4e1a-a6d1-4c3b647e4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2abe0-1689-4d14-b670-48dfa93481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44DF57-8737-443C-A685-C76A0E95CE6B}">
  <ds:schemaRefs>
    <ds:schemaRef ds:uri="http://schemas.microsoft.com/sharepoint/v3/contenttype/forms"/>
  </ds:schemaRefs>
</ds:datastoreItem>
</file>

<file path=customXml/itemProps2.xml><?xml version="1.0" encoding="utf-8"?>
<ds:datastoreItem xmlns:ds="http://schemas.openxmlformats.org/officeDocument/2006/customXml" ds:itemID="{13E66AC3-538C-483F-B7EF-5709E18B17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8AFCC1-385E-48A0-8DE9-0F80C30D1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3f7bb-87d0-4e1a-a6d1-4c3b647e4d1c"/>
    <ds:schemaRef ds:uri="16e2abe0-1689-4d14-b670-48dfa9348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Highland Council</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Murdoch</dc:creator>
  <cp:lastModifiedBy>Ronan Hutchison (Improvement and Performance)</cp:lastModifiedBy>
  <cp:revision>3</cp:revision>
  <dcterms:created xsi:type="dcterms:W3CDTF">2019-12-23T10:12:00Z</dcterms:created>
  <dcterms:modified xsi:type="dcterms:W3CDTF">2025-11-11T14:08:00Z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7556c4c0-5d60-42a4-8b29-32178049c1ce</vt:lpwstr>
  </property>
  <property fmtid="{D5CDD505-2E9C-101B-9397-08002B2CF9AE}" pid="3" name="ContentTypeId">
    <vt:lpwstr>0x010100D8BE436619591D47A7E6A9ED2EC0A7AB</vt:lpwstr>
  </property>
</Properties>
</file>