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7DE5A" w14:textId="77777777" w:rsidR="00360834" w:rsidRPr="0009183D" w:rsidRDefault="00360834" w:rsidP="00360834">
      <w:pPr>
        <w:pStyle w:val="NoSpacing"/>
        <w:jc w:val="center"/>
        <w:rPr>
          <w:b/>
        </w:rPr>
      </w:pPr>
      <w:r>
        <w:rPr>
          <w:b/>
          <w:u w:val="single"/>
        </w:rPr>
        <w:t>COMMON GOOD ASSET REGISTER FOR THE FORMER BURGH OF DINGWALL</w:t>
      </w:r>
    </w:p>
    <w:p w14:paraId="6D3A024D" w14:textId="77777777" w:rsidR="00360834" w:rsidRDefault="00360834" w:rsidP="00360834">
      <w:pPr>
        <w:pStyle w:val="NoSpacing"/>
        <w:rPr>
          <w:b/>
          <w:u w:val="single"/>
        </w:rPr>
      </w:pPr>
    </w:p>
    <w:tbl>
      <w:tblPr>
        <w:tblStyle w:val="TableGrid"/>
        <w:tblW w:w="0" w:type="auto"/>
        <w:tblLook w:val="04A0" w:firstRow="1" w:lastRow="0" w:firstColumn="1" w:lastColumn="0" w:noHBand="0" w:noVBand="1"/>
      </w:tblPr>
      <w:tblGrid>
        <w:gridCol w:w="9016"/>
      </w:tblGrid>
      <w:tr w:rsidR="00036FA2" w14:paraId="2A31D319" w14:textId="77777777" w:rsidTr="00036FA2">
        <w:tc>
          <w:tcPr>
            <w:tcW w:w="9016" w:type="dxa"/>
            <w:shd w:val="clear" w:color="auto" w:fill="E5DFEC"/>
          </w:tcPr>
          <w:p w14:paraId="65773B7B" w14:textId="143CF3F2" w:rsidR="00036FA2" w:rsidRPr="00AF4EE5" w:rsidRDefault="008D2607" w:rsidP="00036FA2">
            <w:pPr>
              <w:pStyle w:val="NoSpacing"/>
              <w:jc w:val="center"/>
              <w:rPr>
                <w:b/>
              </w:rPr>
            </w:pPr>
            <w:r>
              <w:rPr>
                <w:rFonts w:ascii="Calibri" w:eastAsia="Calibri" w:hAnsi="Calibri" w:cs="Times New Roman"/>
                <w:b/>
              </w:rPr>
              <w:t>LAND AND BUILDINGS</w:t>
            </w:r>
          </w:p>
        </w:tc>
      </w:tr>
      <w:tr w:rsidR="00362ECE" w:rsidRPr="00E90206" w14:paraId="3A549532" w14:textId="77777777" w:rsidTr="00362ECE">
        <w:tc>
          <w:tcPr>
            <w:tcW w:w="9016" w:type="dxa"/>
          </w:tcPr>
          <w:p w14:paraId="5B71DDBD" w14:textId="47F45C73" w:rsidR="00362ECE" w:rsidRPr="00E90206" w:rsidRDefault="00290482" w:rsidP="00362ECE">
            <w:pPr>
              <w:pStyle w:val="NoSpacing"/>
              <w:rPr>
                <w:rFonts w:ascii="Calibri" w:eastAsia="Calibri" w:hAnsi="Calibri" w:cs="Times New Roman"/>
                <w:sz w:val="20"/>
                <w:szCs w:val="20"/>
              </w:rPr>
            </w:pPr>
            <w:r w:rsidRPr="00E90206">
              <w:rPr>
                <w:rFonts w:ascii="Calibri" w:eastAsia="Calibri" w:hAnsi="Calibri" w:cs="Times New Roman"/>
                <w:sz w:val="20"/>
                <w:szCs w:val="20"/>
              </w:rPr>
              <w:t>Dingwall was erected into a Royal Burgh by</w:t>
            </w:r>
            <w:r w:rsidR="00552DBE" w:rsidRPr="00E90206">
              <w:rPr>
                <w:rFonts w:ascii="Calibri" w:eastAsia="Calibri" w:hAnsi="Calibri" w:cs="Times New Roman"/>
                <w:sz w:val="20"/>
                <w:szCs w:val="20"/>
              </w:rPr>
              <w:t xml:space="preserve"> a Charter of</w:t>
            </w:r>
            <w:r w:rsidRPr="00E90206">
              <w:rPr>
                <w:rFonts w:ascii="Calibri" w:eastAsia="Calibri" w:hAnsi="Calibri" w:cs="Times New Roman"/>
                <w:sz w:val="20"/>
                <w:szCs w:val="20"/>
              </w:rPr>
              <w:t xml:space="preserve"> Alexander II</w:t>
            </w:r>
            <w:r w:rsidR="00552DBE" w:rsidRPr="00E90206">
              <w:rPr>
                <w:rFonts w:ascii="Calibri" w:eastAsia="Calibri" w:hAnsi="Calibri" w:cs="Times New Roman"/>
                <w:sz w:val="20"/>
                <w:szCs w:val="20"/>
              </w:rPr>
              <w:t xml:space="preserve"> which</w:t>
            </w:r>
            <w:r w:rsidR="00CB2BB3" w:rsidRPr="00E90206">
              <w:rPr>
                <w:rFonts w:ascii="Calibri" w:eastAsia="Calibri" w:hAnsi="Calibri" w:cs="Times New Roman"/>
                <w:sz w:val="20"/>
                <w:szCs w:val="20"/>
              </w:rPr>
              <w:t xml:space="preserve"> was ratified by Charters of James IV dated 12 February 1497 and James VI dated </w:t>
            </w:r>
            <w:r w:rsidR="00E90206" w:rsidRPr="00E90206">
              <w:rPr>
                <w:rFonts w:ascii="Calibri" w:eastAsia="Calibri" w:hAnsi="Calibri" w:cs="Times New Roman"/>
                <w:sz w:val="20"/>
                <w:szCs w:val="20"/>
              </w:rPr>
              <w:t>9 February 1587.</w:t>
            </w:r>
          </w:p>
        </w:tc>
      </w:tr>
    </w:tbl>
    <w:p w14:paraId="7F1DF4B0" w14:textId="77777777" w:rsidR="007C05B4" w:rsidRDefault="007C05B4"/>
    <w:tbl>
      <w:tblPr>
        <w:tblStyle w:val="TableGrid"/>
        <w:tblW w:w="0" w:type="auto"/>
        <w:tblLook w:val="04A0" w:firstRow="1" w:lastRow="0" w:firstColumn="1" w:lastColumn="0" w:noHBand="0" w:noVBand="1"/>
      </w:tblPr>
      <w:tblGrid>
        <w:gridCol w:w="2951"/>
        <w:gridCol w:w="2963"/>
        <w:gridCol w:w="3102"/>
      </w:tblGrid>
      <w:tr w:rsidR="00360834" w14:paraId="5EB7A4E3" w14:textId="77777777" w:rsidTr="00036FA2">
        <w:tc>
          <w:tcPr>
            <w:tcW w:w="2951" w:type="dxa"/>
          </w:tcPr>
          <w:p w14:paraId="547C31C2" w14:textId="77777777" w:rsidR="00360834" w:rsidRPr="00AF4EE5" w:rsidRDefault="00360834" w:rsidP="00322463">
            <w:pPr>
              <w:pStyle w:val="NoSpacing"/>
              <w:jc w:val="center"/>
              <w:rPr>
                <w:b/>
              </w:rPr>
            </w:pPr>
            <w:r>
              <w:rPr>
                <w:b/>
              </w:rPr>
              <w:t>Name of asset</w:t>
            </w:r>
          </w:p>
        </w:tc>
        <w:tc>
          <w:tcPr>
            <w:tcW w:w="2963" w:type="dxa"/>
          </w:tcPr>
          <w:p w14:paraId="3B8DCAD9" w14:textId="77777777" w:rsidR="00360834" w:rsidRPr="00AF4EE5" w:rsidRDefault="00360834" w:rsidP="00322463">
            <w:pPr>
              <w:pStyle w:val="NoSpacing"/>
              <w:jc w:val="center"/>
              <w:rPr>
                <w:b/>
              </w:rPr>
            </w:pPr>
            <w:r>
              <w:rPr>
                <w:b/>
              </w:rPr>
              <w:t>Location</w:t>
            </w:r>
          </w:p>
        </w:tc>
        <w:tc>
          <w:tcPr>
            <w:tcW w:w="3102" w:type="dxa"/>
          </w:tcPr>
          <w:p w14:paraId="49ABCBD6" w14:textId="77777777" w:rsidR="00360834" w:rsidRPr="00AF4EE5" w:rsidRDefault="00360834" w:rsidP="00322463">
            <w:pPr>
              <w:pStyle w:val="NoSpacing"/>
              <w:jc w:val="center"/>
              <w:rPr>
                <w:b/>
              </w:rPr>
            </w:pPr>
            <w:r>
              <w:rPr>
                <w:b/>
              </w:rPr>
              <w:t>Description</w:t>
            </w:r>
          </w:p>
        </w:tc>
      </w:tr>
      <w:tr w:rsidR="00360834" w14:paraId="2B839037" w14:textId="77777777" w:rsidTr="00036FA2">
        <w:tc>
          <w:tcPr>
            <w:tcW w:w="2951" w:type="dxa"/>
          </w:tcPr>
          <w:p w14:paraId="463D71A1" w14:textId="77777777" w:rsidR="00360834" w:rsidRPr="00EB1AF3" w:rsidRDefault="00360834" w:rsidP="00322463">
            <w:pPr>
              <w:pStyle w:val="NoSpacing"/>
              <w:rPr>
                <w:b/>
                <w:sz w:val="20"/>
                <w:szCs w:val="20"/>
                <w:u w:val="single"/>
              </w:rPr>
            </w:pPr>
            <w:r w:rsidRPr="00EB1AF3">
              <w:rPr>
                <w:b/>
                <w:sz w:val="20"/>
                <w:szCs w:val="20"/>
              </w:rPr>
              <w:t>Cromartie Monument Car Park</w:t>
            </w:r>
          </w:p>
        </w:tc>
        <w:tc>
          <w:tcPr>
            <w:tcW w:w="2963" w:type="dxa"/>
          </w:tcPr>
          <w:p w14:paraId="3E3D0D2C" w14:textId="77777777" w:rsidR="00360834" w:rsidRPr="00EB1AF3" w:rsidRDefault="00360834" w:rsidP="00322463">
            <w:pPr>
              <w:rPr>
                <w:sz w:val="20"/>
                <w:szCs w:val="20"/>
              </w:rPr>
            </w:pPr>
            <w:r w:rsidRPr="00EB1AF3">
              <w:rPr>
                <w:sz w:val="20"/>
                <w:szCs w:val="20"/>
              </w:rPr>
              <w:t>Tulloch Street, IV15 9JY.</w:t>
            </w:r>
          </w:p>
          <w:p w14:paraId="472F291A" w14:textId="77777777" w:rsidR="00360834" w:rsidRDefault="00360834" w:rsidP="00322463">
            <w:pPr>
              <w:pStyle w:val="NoSpacing"/>
              <w:rPr>
                <w:sz w:val="20"/>
                <w:szCs w:val="20"/>
              </w:rPr>
            </w:pPr>
            <w:r w:rsidRPr="00556F1C">
              <w:rPr>
                <w:sz w:val="20"/>
                <w:szCs w:val="20"/>
              </w:rPr>
              <w:t>UPRN: 130111914</w:t>
            </w:r>
            <w:r>
              <w:rPr>
                <w:sz w:val="20"/>
                <w:szCs w:val="20"/>
              </w:rPr>
              <w:t>.</w:t>
            </w:r>
          </w:p>
          <w:p w14:paraId="7748954C" w14:textId="77777777" w:rsidR="00360834" w:rsidRPr="00556F1C" w:rsidRDefault="00360834" w:rsidP="00322463">
            <w:pPr>
              <w:pStyle w:val="NoSpacing"/>
              <w:rPr>
                <w:sz w:val="20"/>
                <w:szCs w:val="20"/>
              </w:rPr>
            </w:pPr>
            <w:r>
              <w:rPr>
                <w:sz w:val="20"/>
                <w:szCs w:val="20"/>
              </w:rPr>
              <w:t>Bordered by Tulloch Street, Church Street and Mart Road.</w:t>
            </w:r>
          </w:p>
        </w:tc>
        <w:tc>
          <w:tcPr>
            <w:tcW w:w="3102" w:type="dxa"/>
          </w:tcPr>
          <w:p w14:paraId="3694700F" w14:textId="77777777" w:rsidR="00360834" w:rsidRDefault="00360834" w:rsidP="00322463">
            <w:pPr>
              <w:pStyle w:val="NoSpacing"/>
              <w:rPr>
                <w:sz w:val="20"/>
                <w:szCs w:val="20"/>
              </w:rPr>
            </w:pPr>
            <w:r>
              <w:rPr>
                <w:sz w:val="20"/>
                <w:szCs w:val="20"/>
              </w:rPr>
              <w:t>Total site area 3264.64m².</w:t>
            </w:r>
          </w:p>
          <w:p w14:paraId="779BB534" w14:textId="77777777" w:rsidR="00360834" w:rsidRPr="00556F1C" w:rsidRDefault="00360834" w:rsidP="00322463">
            <w:pPr>
              <w:pStyle w:val="NoSpacing"/>
              <w:rPr>
                <w:b/>
                <w:sz w:val="20"/>
                <w:szCs w:val="20"/>
                <w:u w:val="single"/>
              </w:rPr>
            </w:pPr>
            <w:r w:rsidRPr="00556F1C">
              <w:rPr>
                <w:sz w:val="20"/>
                <w:szCs w:val="20"/>
              </w:rPr>
              <w:t xml:space="preserve">Gifted by Cromartie Estates in 1948 – </w:t>
            </w:r>
            <w:r>
              <w:rPr>
                <w:sz w:val="20"/>
                <w:szCs w:val="20"/>
              </w:rPr>
              <w:t xml:space="preserve">Proviso that it is </w:t>
            </w:r>
            <w:r w:rsidRPr="00556F1C">
              <w:rPr>
                <w:sz w:val="20"/>
                <w:szCs w:val="20"/>
              </w:rPr>
              <w:t xml:space="preserve">not to be built on &amp; </w:t>
            </w:r>
            <w:r>
              <w:rPr>
                <w:sz w:val="20"/>
                <w:szCs w:val="20"/>
              </w:rPr>
              <w:t xml:space="preserve">is </w:t>
            </w:r>
            <w:r w:rsidRPr="00556F1C">
              <w:rPr>
                <w:sz w:val="20"/>
                <w:szCs w:val="20"/>
              </w:rPr>
              <w:t>to be used for open space and parking. Monument stands on land feued to former Royal Burgh. Treated as Common Good land. Highland Counc</w:t>
            </w:r>
            <w:r>
              <w:rPr>
                <w:sz w:val="20"/>
                <w:szCs w:val="20"/>
              </w:rPr>
              <w:t>il maintains it in lieu of rent. Inalienable.</w:t>
            </w:r>
          </w:p>
        </w:tc>
      </w:tr>
      <w:tr w:rsidR="00360834" w14:paraId="49335E0F" w14:textId="77777777" w:rsidTr="00036FA2">
        <w:tc>
          <w:tcPr>
            <w:tcW w:w="2951" w:type="dxa"/>
          </w:tcPr>
          <w:p w14:paraId="71405F6D" w14:textId="77777777" w:rsidR="00360834" w:rsidRDefault="00360834" w:rsidP="00322463">
            <w:pPr>
              <w:pStyle w:val="NoSpacing"/>
              <w:rPr>
                <w:sz w:val="20"/>
                <w:szCs w:val="20"/>
              </w:rPr>
            </w:pPr>
            <w:r w:rsidRPr="00556F1C">
              <w:rPr>
                <w:b/>
                <w:sz w:val="20"/>
                <w:szCs w:val="20"/>
              </w:rPr>
              <w:t>Former Public Toilets</w:t>
            </w:r>
            <w:r w:rsidRPr="00556F1C">
              <w:rPr>
                <w:sz w:val="20"/>
                <w:szCs w:val="20"/>
              </w:rPr>
              <w:t xml:space="preserve"> (now office)</w:t>
            </w:r>
          </w:p>
          <w:p w14:paraId="4D99C372" w14:textId="77777777" w:rsidR="00360834" w:rsidRPr="00556F1C" w:rsidRDefault="00360834" w:rsidP="00322463">
            <w:pPr>
              <w:pStyle w:val="NoSpacing"/>
              <w:rPr>
                <w:b/>
                <w:sz w:val="20"/>
                <w:szCs w:val="20"/>
                <w:u w:val="single"/>
              </w:rPr>
            </w:pPr>
          </w:p>
        </w:tc>
        <w:tc>
          <w:tcPr>
            <w:tcW w:w="2963" w:type="dxa"/>
          </w:tcPr>
          <w:p w14:paraId="1EEBC728" w14:textId="77777777" w:rsidR="00360834" w:rsidRDefault="00360834" w:rsidP="00322463">
            <w:pPr>
              <w:pStyle w:val="NoSpacing"/>
              <w:rPr>
                <w:sz w:val="20"/>
                <w:szCs w:val="20"/>
              </w:rPr>
            </w:pPr>
            <w:r w:rsidRPr="00556F1C">
              <w:rPr>
                <w:sz w:val="20"/>
                <w:szCs w:val="20"/>
              </w:rPr>
              <w:t>Tulloch Street, IV15 9JY.</w:t>
            </w:r>
          </w:p>
          <w:p w14:paraId="5643FBBB" w14:textId="77777777" w:rsidR="00360834" w:rsidRDefault="00360834" w:rsidP="00322463">
            <w:pPr>
              <w:pStyle w:val="NoSpacing"/>
              <w:rPr>
                <w:sz w:val="20"/>
                <w:szCs w:val="20"/>
              </w:rPr>
            </w:pPr>
            <w:r>
              <w:rPr>
                <w:sz w:val="20"/>
                <w:szCs w:val="20"/>
              </w:rPr>
              <w:t>UPRN: 130112743.</w:t>
            </w:r>
          </w:p>
          <w:p w14:paraId="091D299A" w14:textId="77777777" w:rsidR="00360834" w:rsidRPr="00556F1C" w:rsidRDefault="00360834" w:rsidP="00322463">
            <w:pPr>
              <w:pStyle w:val="NoSpacing"/>
              <w:rPr>
                <w:b/>
                <w:sz w:val="20"/>
                <w:szCs w:val="20"/>
                <w:u w:val="single"/>
              </w:rPr>
            </w:pPr>
            <w:r>
              <w:rPr>
                <w:sz w:val="20"/>
                <w:szCs w:val="20"/>
              </w:rPr>
              <w:t>Located adjacent to Cromartie monument car park.</w:t>
            </w:r>
          </w:p>
        </w:tc>
        <w:tc>
          <w:tcPr>
            <w:tcW w:w="3102" w:type="dxa"/>
          </w:tcPr>
          <w:p w14:paraId="3ED1A54E" w14:textId="77777777" w:rsidR="00360834" w:rsidRDefault="00360834" w:rsidP="00322463">
            <w:pPr>
              <w:pStyle w:val="NoSpacing"/>
              <w:rPr>
                <w:sz w:val="20"/>
                <w:szCs w:val="20"/>
              </w:rPr>
            </w:pPr>
            <w:r>
              <w:rPr>
                <w:sz w:val="20"/>
                <w:szCs w:val="20"/>
              </w:rPr>
              <w:t>Site area 107.20m²</w:t>
            </w:r>
          </w:p>
          <w:p w14:paraId="0BBF6932" w14:textId="77777777" w:rsidR="00360834" w:rsidRPr="00E93159" w:rsidRDefault="00360834" w:rsidP="00322463">
            <w:pPr>
              <w:pStyle w:val="NoSpacing"/>
              <w:rPr>
                <w:sz w:val="20"/>
                <w:szCs w:val="20"/>
              </w:rPr>
            </w:pPr>
            <w:r w:rsidRPr="005E2281">
              <w:rPr>
                <w:sz w:val="20"/>
                <w:szCs w:val="20"/>
              </w:rPr>
              <w:t>Previously</w:t>
            </w:r>
            <w:r>
              <w:rPr>
                <w:sz w:val="20"/>
                <w:szCs w:val="20"/>
              </w:rPr>
              <w:t xml:space="preserve"> held as</w:t>
            </w:r>
            <w:r w:rsidRPr="005E2281">
              <w:rPr>
                <w:sz w:val="20"/>
                <w:szCs w:val="20"/>
              </w:rPr>
              <w:t xml:space="preserve"> part Common Good, part Highland Council but all now held as Common Good (from March 2017). </w:t>
            </w:r>
            <w:r>
              <w:rPr>
                <w:sz w:val="20"/>
                <w:szCs w:val="20"/>
              </w:rPr>
              <w:t>Leased out.</w:t>
            </w:r>
          </w:p>
        </w:tc>
      </w:tr>
      <w:tr w:rsidR="00360834" w14:paraId="2F5F7F8D" w14:textId="77777777" w:rsidTr="00036FA2">
        <w:tc>
          <w:tcPr>
            <w:tcW w:w="2951" w:type="dxa"/>
          </w:tcPr>
          <w:p w14:paraId="52AC3672" w14:textId="77777777" w:rsidR="00360834" w:rsidRDefault="00360834" w:rsidP="00322463">
            <w:pPr>
              <w:pStyle w:val="NoSpacing"/>
              <w:rPr>
                <w:b/>
                <w:sz w:val="20"/>
                <w:szCs w:val="20"/>
              </w:rPr>
            </w:pPr>
            <w:r w:rsidRPr="007008A1">
              <w:rPr>
                <w:b/>
                <w:sz w:val="20"/>
                <w:szCs w:val="20"/>
              </w:rPr>
              <w:t>Jubilee Caravan Park</w:t>
            </w:r>
          </w:p>
          <w:p w14:paraId="33B19AD1" w14:textId="77777777" w:rsidR="00360834" w:rsidRPr="007008A1" w:rsidRDefault="00360834" w:rsidP="00322463">
            <w:pPr>
              <w:pStyle w:val="NoSpacing"/>
              <w:rPr>
                <w:b/>
                <w:sz w:val="20"/>
                <w:szCs w:val="20"/>
                <w:u w:val="single"/>
              </w:rPr>
            </w:pPr>
          </w:p>
        </w:tc>
        <w:tc>
          <w:tcPr>
            <w:tcW w:w="2963" w:type="dxa"/>
          </w:tcPr>
          <w:p w14:paraId="3F8D10E1" w14:textId="77777777" w:rsidR="00360834" w:rsidRDefault="00360834" w:rsidP="00322463">
            <w:pPr>
              <w:pStyle w:val="NoSpacing"/>
              <w:rPr>
                <w:sz w:val="20"/>
                <w:szCs w:val="20"/>
              </w:rPr>
            </w:pPr>
            <w:r w:rsidRPr="007008A1">
              <w:rPr>
                <w:sz w:val="20"/>
                <w:szCs w:val="20"/>
              </w:rPr>
              <w:t>Jubilee Park Road, IV15 9QZ.</w:t>
            </w:r>
          </w:p>
          <w:p w14:paraId="21CD501F" w14:textId="77777777" w:rsidR="00360834" w:rsidRDefault="00360834" w:rsidP="00322463">
            <w:pPr>
              <w:pStyle w:val="NoSpacing"/>
              <w:rPr>
                <w:sz w:val="20"/>
                <w:szCs w:val="20"/>
              </w:rPr>
            </w:pPr>
            <w:r>
              <w:rPr>
                <w:sz w:val="20"/>
                <w:szCs w:val="20"/>
              </w:rPr>
              <w:t>UPRN: 130112708.</w:t>
            </w:r>
          </w:p>
          <w:p w14:paraId="5C877A92" w14:textId="77777777" w:rsidR="00360834" w:rsidRPr="007008A1" w:rsidRDefault="00360834" w:rsidP="00322463">
            <w:pPr>
              <w:pStyle w:val="NoSpacing"/>
              <w:rPr>
                <w:b/>
                <w:sz w:val="20"/>
                <w:szCs w:val="20"/>
                <w:u w:val="single"/>
              </w:rPr>
            </w:pPr>
            <w:r>
              <w:rPr>
                <w:sz w:val="20"/>
                <w:szCs w:val="20"/>
              </w:rPr>
              <w:t>Bordered by River Peffery, Jubilee Park, railway line and the part of the caravan park owned by Highland Council.</w:t>
            </w:r>
          </w:p>
        </w:tc>
        <w:tc>
          <w:tcPr>
            <w:tcW w:w="3102" w:type="dxa"/>
          </w:tcPr>
          <w:p w14:paraId="54760D8D" w14:textId="0A153149" w:rsidR="00360834" w:rsidRDefault="00360834" w:rsidP="00322463">
            <w:pPr>
              <w:pStyle w:val="NoSpacing"/>
              <w:rPr>
                <w:sz w:val="20"/>
                <w:szCs w:val="20"/>
              </w:rPr>
            </w:pPr>
            <w:r>
              <w:rPr>
                <w:sz w:val="20"/>
                <w:szCs w:val="20"/>
              </w:rPr>
              <w:t>8693.73m² of the total 14892.43m² area is common good land (see below). The remainder of the land is held on Highland Council general account. C</w:t>
            </w:r>
            <w:r w:rsidR="00EA6A56">
              <w:rPr>
                <w:sz w:val="20"/>
                <w:szCs w:val="20"/>
              </w:rPr>
              <w:t xml:space="preserve">ommon </w:t>
            </w:r>
            <w:r>
              <w:rPr>
                <w:sz w:val="20"/>
                <w:szCs w:val="20"/>
              </w:rPr>
              <w:t>G</w:t>
            </w:r>
            <w:r w:rsidR="00EA6A56">
              <w:rPr>
                <w:sz w:val="20"/>
                <w:szCs w:val="20"/>
              </w:rPr>
              <w:t>ood</w:t>
            </w:r>
            <w:r>
              <w:rPr>
                <w:sz w:val="20"/>
                <w:szCs w:val="20"/>
              </w:rPr>
              <w:t xml:space="preserve"> area </w:t>
            </w:r>
            <w:r w:rsidR="00EA6A56">
              <w:rPr>
                <w:sz w:val="20"/>
                <w:szCs w:val="20"/>
              </w:rPr>
              <w:t xml:space="preserve">is </w:t>
            </w:r>
            <w:r>
              <w:rPr>
                <w:sz w:val="20"/>
                <w:szCs w:val="20"/>
              </w:rPr>
              <w:t>inalienable.</w:t>
            </w:r>
          </w:p>
          <w:p w14:paraId="4FF2C43F" w14:textId="77777777" w:rsidR="00360834" w:rsidRPr="00BA6B85" w:rsidRDefault="00360834" w:rsidP="00322463">
            <w:pPr>
              <w:pStyle w:val="NoSpacing"/>
              <w:rPr>
                <w:sz w:val="20"/>
                <w:szCs w:val="20"/>
              </w:rPr>
            </w:pPr>
            <w:r>
              <w:rPr>
                <w:sz w:val="20"/>
                <w:szCs w:val="20"/>
              </w:rPr>
              <w:t>Caravan park is leased out.</w:t>
            </w:r>
          </w:p>
        </w:tc>
      </w:tr>
      <w:tr w:rsidR="00360834" w14:paraId="734F1E8B" w14:textId="77777777" w:rsidTr="00036FA2">
        <w:tc>
          <w:tcPr>
            <w:tcW w:w="2951" w:type="dxa"/>
          </w:tcPr>
          <w:p w14:paraId="7DAD15D1" w14:textId="77777777" w:rsidR="00360834" w:rsidRDefault="00360834" w:rsidP="00322463">
            <w:pPr>
              <w:pStyle w:val="NoSpacing"/>
              <w:rPr>
                <w:b/>
                <w:sz w:val="20"/>
                <w:szCs w:val="20"/>
              </w:rPr>
            </w:pPr>
            <w:r w:rsidRPr="00BA6B85">
              <w:rPr>
                <w:b/>
                <w:sz w:val="20"/>
                <w:szCs w:val="20"/>
              </w:rPr>
              <w:t>Jubilee Park Playing Field</w:t>
            </w:r>
          </w:p>
          <w:p w14:paraId="742AEBB5" w14:textId="77777777" w:rsidR="00360834" w:rsidRPr="00B968EB" w:rsidRDefault="00360834" w:rsidP="00322463">
            <w:pPr>
              <w:pStyle w:val="NoSpacing"/>
              <w:rPr>
                <w:i/>
                <w:sz w:val="20"/>
                <w:szCs w:val="20"/>
                <w:u w:val="single"/>
              </w:rPr>
            </w:pPr>
          </w:p>
        </w:tc>
        <w:tc>
          <w:tcPr>
            <w:tcW w:w="2963" w:type="dxa"/>
          </w:tcPr>
          <w:p w14:paraId="2DA17777" w14:textId="77777777" w:rsidR="00360834" w:rsidRDefault="00360834" w:rsidP="00322463">
            <w:pPr>
              <w:pStyle w:val="NoSpacing"/>
              <w:rPr>
                <w:sz w:val="20"/>
                <w:szCs w:val="20"/>
              </w:rPr>
            </w:pPr>
            <w:r w:rsidRPr="00765F18">
              <w:rPr>
                <w:sz w:val="20"/>
                <w:szCs w:val="20"/>
              </w:rPr>
              <w:t>Jubilee Park Road, IV15 9QZ.</w:t>
            </w:r>
          </w:p>
          <w:p w14:paraId="2670DBAF" w14:textId="77777777" w:rsidR="00360834" w:rsidRDefault="00360834" w:rsidP="00322463">
            <w:pPr>
              <w:pStyle w:val="NoSpacing"/>
              <w:rPr>
                <w:sz w:val="20"/>
                <w:szCs w:val="20"/>
              </w:rPr>
            </w:pPr>
            <w:r>
              <w:rPr>
                <w:sz w:val="20"/>
                <w:szCs w:val="20"/>
              </w:rPr>
              <w:t>UPRN: 130112864.</w:t>
            </w:r>
          </w:p>
          <w:p w14:paraId="52A89F0A" w14:textId="77777777" w:rsidR="00360834" w:rsidRPr="00765F18" w:rsidRDefault="00360834" w:rsidP="00322463">
            <w:pPr>
              <w:pStyle w:val="NoSpacing"/>
              <w:rPr>
                <w:b/>
                <w:sz w:val="20"/>
                <w:szCs w:val="20"/>
                <w:u w:val="single"/>
              </w:rPr>
            </w:pPr>
            <w:r>
              <w:rPr>
                <w:sz w:val="20"/>
                <w:szCs w:val="20"/>
              </w:rPr>
              <w:t>Bordered by River Peffery, Caravan Park, Dingwall Centre, all weather pitch site and rifle range.</w:t>
            </w:r>
          </w:p>
        </w:tc>
        <w:tc>
          <w:tcPr>
            <w:tcW w:w="3102" w:type="dxa"/>
          </w:tcPr>
          <w:p w14:paraId="29EA3400" w14:textId="77777777" w:rsidR="00360834" w:rsidRDefault="00360834" w:rsidP="00322463">
            <w:pPr>
              <w:pStyle w:val="NoSpacing"/>
              <w:rPr>
                <w:sz w:val="20"/>
                <w:szCs w:val="20"/>
              </w:rPr>
            </w:pPr>
            <w:r w:rsidRPr="00765F18">
              <w:rPr>
                <w:sz w:val="20"/>
                <w:szCs w:val="20"/>
              </w:rPr>
              <w:t>Common good area is 24938.97m</w:t>
            </w:r>
            <w:r>
              <w:rPr>
                <w:sz w:val="20"/>
                <w:szCs w:val="20"/>
              </w:rPr>
              <w:t>² (rest of the site is held on Highland Council general account).</w:t>
            </w:r>
          </w:p>
          <w:p w14:paraId="18D9B706" w14:textId="77777777" w:rsidR="00360834" w:rsidRPr="00ED021F" w:rsidRDefault="00360834" w:rsidP="00322463">
            <w:pPr>
              <w:pStyle w:val="NoSpacing"/>
              <w:rPr>
                <w:sz w:val="16"/>
                <w:szCs w:val="16"/>
              </w:rPr>
            </w:pPr>
            <w:r>
              <w:rPr>
                <w:sz w:val="20"/>
                <w:szCs w:val="20"/>
              </w:rPr>
              <w:t>Common good area was g</w:t>
            </w:r>
            <w:r w:rsidRPr="00BC4624">
              <w:rPr>
                <w:sz w:val="20"/>
                <w:szCs w:val="20"/>
              </w:rPr>
              <w:t>ifted to Dingwall in 1887(formal title recorded in 1922) for the Jubilee to be used as a public park.</w:t>
            </w:r>
            <w:r>
              <w:rPr>
                <w:sz w:val="20"/>
                <w:szCs w:val="20"/>
              </w:rPr>
              <w:t xml:space="preserve"> Inalienable. </w:t>
            </w:r>
            <w:r>
              <w:rPr>
                <w:sz w:val="16"/>
                <w:szCs w:val="16"/>
              </w:rPr>
              <w:t xml:space="preserve"> </w:t>
            </w:r>
            <w:r w:rsidRPr="00BC4624">
              <w:rPr>
                <w:sz w:val="20"/>
                <w:szCs w:val="20"/>
              </w:rPr>
              <w:t>Highland Council maintains it in lieu of rent</w:t>
            </w:r>
            <w:r>
              <w:rPr>
                <w:sz w:val="20"/>
                <w:szCs w:val="20"/>
              </w:rPr>
              <w:t>.</w:t>
            </w:r>
          </w:p>
        </w:tc>
      </w:tr>
      <w:tr w:rsidR="00360834" w14:paraId="25F4D0BE" w14:textId="77777777" w:rsidTr="00036FA2">
        <w:trPr>
          <w:trHeight w:val="1583"/>
        </w:trPr>
        <w:tc>
          <w:tcPr>
            <w:tcW w:w="2951" w:type="dxa"/>
          </w:tcPr>
          <w:p w14:paraId="3D53B1A2" w14:textId="77777777" w:rsidR="00360834" w:rsidRPr="00BC4624" w:rsidRDefault="00360834" w:rsidP="00322463">
            <w:pPr>
              <w:pStyle w:val="NoSpacing"/>
              <w:rPr>
                <w:b/>
                <w:sz w:val="20"/>
                <w:szCs w:val="20"/>
                <w:u w:val="single"/>
              </w:rPr>
            </w:pPr>
            <w:r w:rsidRPr="00BC4624">
              <w:rPr>
                <w:b/>
                <w:sz w:val="20"/>
                <w:szCs w:val="20"/>
              </w:rPr>
              <w:t>Town Hall</w:t>
            </w:r>
          </w:p>
        </w:tc>
        <w:tc>
          <w:tcPr>
            <w:tcW w:w="2963" w:type="dxa"/>
          </w:tcPr>
          <w:p w14:paraId="4ED2667F" w14:textId="77777777" w:rsidR="00360834" w:rsidRDefault="00360834" w:rsidP="00322463">
            <w:pPr>
              <w:pStyle w:val="NoSpacing"/>
              <w:rPr>
                <w:sz w:val="16"/>
                <w:szCs w:val="16"/>
              </w:rPr>
            </w:pPr>
            <w:r w:rsidRPr="009A2A7D">
              <w:rPr>
                <w:sz w:val="20"/>
                <w:szCs w:val="20"/>
              </w:rPr>
              <w:t>High Street, IV15 9RY</w:t>
            </w:r>
            <w:r>
              <w:rPr>
                <w:sz w:val="16"/>
                <w:szCs w:val="16"/>
              </w:rPr>
              <w:t>.</w:t>
            </w:r>
          </w:p>
          <w:p w14:paraId="78B2FD63" w14:textId="77777777" w:rsidR="00360834" w:rsidRDefault="00360834" w:rsidP="00322463">
            <w:pPr>
              <w:pStyle w:val="NoSpacing"/>
              <w:rPr>
                <w:sz w:val="20"/>
                <w:szCs w:val="20"/>
              </w:rPr>
            </w:pPr>
            <w:r w:rsidRPr="00BC4624">
              <w:rPr>
                <w:sz w:val="20"/>
                <w:szCs w:val="20"/>
              </w:rPr>
              <w:t xml:space="preserve">UPRN: </w:t>
            </w:r>
            <w:r>
              <w:rPr>
                <w:sz w:val="20"/>
                <w:szCs w:val="20"/>
              </w:rPr>
              <w:t>130003334.</w:t>
            </w:r>
          </w:p>
          <w:p w14:paraId="05AFA459" w14:textId="77777777" w:rsidR="00360834" w:rsidRPr="00BC4624" w:rsidRDefault="00360834" w:rsidP="00322463">
            <w:pPr>
              <w:pStyle w:val="NoSpacing"/>
              <w:rPr>
                <w:sz w:val="20"/>
                <w:szCs w:val="20"/>
              </w:rPr>
            </w:pPr>
            <w:r>
              <w:rPr>
                <w:sz w:val="20"/>
                <w:szCs w:val="20"/>
              </w:rPr>
              <w:t>Located on the corner of High Street and Church Street.</w:t>
            </w:r>
          </w:p>
        </w:tc>
        <w:tc>
          <w:tcPr>
            <w:tcW w:w="3102" w:type="dxa"/>
          </w:tcPr>
          <w:p w14:paraId="3E4094AB" w14:textId="77777777" w:rsidR="00360834" w:rsidRPr="005C22DA" w:rsidRDefault="00360834" w:rsidP="00322463">
            <w:pPr>
              <w:pStyle w:val="NoSpacing"/>
              <w:rPr>
                <w:sz w:val="20"/>
                <w:szCs w:val="20"/>
              </w:rPr>
            </w:pPr>
            <w:r>
              <w:rPr>
                <w:sz w:val="20"/>
                <w:szCs w:val="20"/>
              </w:rPr>
              <w:t>Site area 1031.63m².</w:t>
            </w:r>
          </w:p>
          <w:p w14:paraId="4E942FA6" w14:textId="77777777" w:rsidR="00360834" w:rsidRPr="00BC4624" w:rsidRDefault="00360834" w:rsidP="00322463">
            <w:pPr>
              <w:pStyle w:val="NoSpacing"/>
              <w:rPr>
                <w:sz w:val="20"/>
                <w:szCs w:val="20"/>
              </w:rPr>
            </w:pPr>
            <w:r>
              <w:rPr>
                <w:sz w:val="20"/>
                <w:szCs w:val="20"/>
              </w:rPr>
              <w:t>The oldest parts were built on land acquired by the Burgh between 1735 &amp; 1745 and used for public administration. It has been treated as common good for time immemorial. The extensions in 1925 form part of the Town Hall and have been used for public purposes since. Therefore, this is also considered to be common good. Inalienable. Leased out.</w:t>
            </w:r>
          </w:p>
        </w:tc>
      </w:tr>
    </w:tbl>
    <w:p w14:paraId="3B410198" w14:textId="77777777" w:rsidR="007C05B4" w:rsidRDefault="007C05B4"/>
    <w:p w14:paraId="017430BB" w14:textId="77777777" w:rsidR="007C05B4" w:rsidRDefault="007C05B4"/>
    <w:tbl>
      <w:tblPr>
        <w:tblStyle w:val="TableGrid"/>
        <w:tblW w:w="0" w:type="auto"/>
        <w:tblLook w:val="04A0" w:firstRow="1" w:lastRow="0" w:firstColumn="1" w:lastColumn="0" w:noHBand="0" w:noVBand="1"/>
      </w:tblPr>
      <w:tblGrid>
        <w:gridCol w:w="9016"/>
      </w:tblGrid>
      <w:tr w:rsidR="00036FA2" w14:paraId="534CCAAD" w14:textId="77777777" w:rsidTr="00661AAA">
        <w:trPr>
          <w:trHeight w:val="221"/>
        </w:trPr>
        <w:tc>
          <w:tcPr>
            <w:tcW w:w="9016" w:type="dxa"/>
            <w:shd w:val="clear" w:color="auto" w:fill="E5DFEC"/>
          </w:tcPr>
          <w:p w14:paraId="3BF8CFE8" w14:textId="6E583079" w:rsidR="00036FA2" w:rsidRDefault="008D2607" w:rsidP="00036FA2">
            <w:pPr>
              <w:pStyle w:val="NoSpacing"/>
              <w:jc w:val="center"/>
              <w:rPr>
                <w:sz w:val="20"/>
                <w:szCs w:val="20"/>
              </w:rPr>
            </w:pPr>
            <w:r>
              <w:rPr>
                <w:rFonts w:ascii="Calibri" w:eastAsia="Calibri" w:hAnsi="Calibri" w:cs="Times New Roman"/>
                <w:b/>
              </w:rPr>
              <w:lastRenderedPageBreak/>
              <w:t>ART AND ARTIFACTS</w:t>
            </w:r>
          </w:p>
        </w:tc>
      </w:tr>
    </w:tbl>
    <w:p w14:paraId="617E334C" w14:textId="77777777" w:rsidR="007C05B4" w:rsidRDefault="007C05B4"/>
    <w:tbl>
      <w:tblPr>
        <w:tblStyle w:val="TableGrid"/>
        <w:tblW w:w="0" w:type="auto"/>
        <w:tblLook w:val="04A0" w:firstRow="1" w:lastRow="0" w:firstColumn="1" w:lastColumn="0" w:noHBand="0" w:noVBand="1"/>
      </w:tblPr>
      <w:tblGrid>
        <w:gridCol w:w="2951"/>
        <w:gridCol w:w="2963"/>
        <w:gridCol w:w="3102"/>
      </w:tblGrid>
      <w:tr w:rsidR="00360834" w14:paraId="6B862845" w14:textId="77777777" w:rsidTr="00036FA2">
        <w:trPr>
          <w:trHeight w:val="240"/>
        </w:trPr>
        <w:tc>
          <w:tcPr>
            <w:tcW w:w="2951" w:type="dxa"/>
          </w:tcPr>
          <w:p w14:paraId="44082F0E" w14:textId="77777777" w:rsidR="00360834" w:rsidRPr="00BC4624" w:rsidRDefault="00360834" w:rsidP="00322463">
            <w:pPr>
              <w:pStyle w:val="NoSpacing"/>
              <w:jc w:val="center"/>
              <w:rPr>
                <w:b/>
                <w:sz w:val="20"/>
                <w:szCs w:val="20"/>
              </w:rPr>
            </w:pPr>
            <w:r w:rsidRPr="009A2A7D">
              <w:rPr>
                <w:b/>
              </w:rPr>
              <w:t>Name of asset</w:t>
            </w:r>
          </w:p>
        </w:tc>
        <w:tc>
          <w:tcPr>
            <w:tcW w:w="2963" w:type="dxa"/>
          </w:tcPr>
          <w:p w14:paraId="09020E9F" w14:textId="77777777" w:rsidR="00360834" w:rsidRPr="009A2A7D" w:rsidRDefault="00360834" w:rsidP="00322463">
            <w:pPr>
              <w:pStyle w:val="NoSpacing"/>
              <w:jc w:val="center"/>
              <w:rPr>
                <w:sz w:val="20"/>
                <w:szCs w:val="20"/>
              </w:rPr>
            </w:pPr>
            <w:r w:rsidRPr="009A2A7D">
              <w:rPr>
                <w:b/>
              </w:rPr>
              <w:t>Location</w:t>
            </w:r>
          </w:p>
        </w:tc>
        <w:tc>
          <w:tcPr>
            <w:tcW w:w="3102" w:type="dxa"/>
          </w:tcPr>
          <w:p w14:paraId="2EF797C5" w14:textId="77777777" w:rsidR="00360834" w:rsidRDefault="00360834" w:rsidP="00322463">
            <w:pPr>
              <w:pStyle w:val="NoSpacing"/>
              <w:jc w:val="center"/>
              <w:rPr>
                <w:sz w:val="20"/>
                <w:szCs w:val="20"/>
              </w:rPr>
            </w:pPr>
            <w:r>
              <w:rPr>
                <w:b/>
              </w:rPr>
              <w:t>Description</w:t>
            </w:r>
          </w:p>
        </w:tc>
      </w:tr>
      <w:tr w:rsidR="00360834" w14:paraId="675E3E4E" w14:textId="77777777" w:rsidTr="00036FA2">
        <w:trPr>
          <w:trHeight w:val="240"/>
        </w:trPr>
        <w:tc>
          <w:tcPr>
            <w:tcW w:w="2951" w:type="dxa"/>
          </w:tcPr>
          <w:p w14:paraId="14C3D8C1" w14:textId="77777777" w:rsidR="00360834" w:rsidRPr="009A2A7D" w:rsidRDefault="00360834" w:rsidP="00322463">
            <w:pPr>
              <w:pStyle w:val="NoSpacing"/>
              <w:rPr>
                <w:b/>
              </w:rPr>
            </w:pPr>
            <w:r>
              <w:rPr>
                <w:b/>
                <w:sz w:val="20"/>
                <w:szCs w:val="20"/>
              </w:rPr>
              <w:t>Portrait – James Alexander Francis, Col Lord Seaforth</w:t>
            </w:r>
          </w:p>
        </w:tc>
        <w:tc>
          <w:tcPr>
            <w:tcW w:w="2963" w:type="dxa"/>
          </w:tcPr>
          <w:p w14:paraId="385F16FE" w14:textId="77777777" w:rsidR="00360834" w:rsidRPr="009A2A7D" w:rsidRDefault="00360834" w:rsidP="00322463">
            <w:pPr>
              <w:pStyle w:val="NoSpacing"/>
              <w:rPr>
                <w:b/>
              </w:rPr>
            </w:pPr>
            <w:r>
              <w:rPr>
                <w:sz w:val="20"/>
                <w:szCs w:val="20"/>
              </w:rPr>
              <w:t>In Coul House Hotel, Contin IV14 9ES</w:t>
            </w:r>
          </w:p>
        </w:tc>
        <w:tc>
          <w:tcPr>
            <w:tcW w:w="3102" w:type="dxa"/>
          </w:tcPr>
          <w:p w14:paraId="3301CE90" w14:textId="77777777" w:rsidR="00360834" w:rsidRDefault="00360834" w:rsidP="00322463">
            <w:pPr>
              <w:pStyle w:val="NoSpacing"/>
              <w:rPr>
                <w:b/>
              </w:rPr>
            </w:pPr>
            <w:r>
              <w:rPr>
                <w:sz w:val="20"/>
                <w:szCs w:val="20"/>
              </w:rPr>
              <w:t>Artist unknown, 149x101cm, oil on canvas. On loan to Coul House Hotel.</w:t>
            </w:r>
          </w:p>
        </w:tc>
      </w:tr>
      <w:tr w:rsidR="00360834" w14:paraId="2D1404C2" w14:textId="77777777" w:rsidTr="00036FA2">
        <w:trPr>
          <w:trHeight w:val="240"/>
        </w:trPr>
        <w:tc>
          <w:tcPr>
            <w:tcW w:w="2951" w:type="dxa"/>
          </w:tcPr>
          <w:p w14:paraId="258927EE" w14:textId="77777777" w:rsidR="00360834" w:rsidRDefault="00360834" w:rsidP="00322463">
            <w:pPr>
              <w:pStyle w:val="NoSpacing"/>
              <w:rPr>
                <w:b/>
                <w:sz w:val="20"/>
                <w:szCs w:val="20"/>
              </w:rPr>
            </w:pPr>
            <w:r>
              <w:rPr>
                <w:b/>
                <w:sz w:val="20"/>
                <w:szCs w:val="20"/>
              </w:rPr>
              <w:t>Portrait – Sir Kenneth MacKenzie</w:t>
            </w:r>
          </w:p>
        </w:tc>
        <w:tc>
          <w:tcPr>
            <w:tcW w:w="2963" w:type="dxa"/>
          </w:tcPr>
          <w:p w14:paraId="19CD9707" w14:textId="77777777" w:rsidR="00360834" w:rsidRDefault="00360834" w:rsidP="00322463">
            <w:pPr>
              <w:pStyle w:val="NoSpacing"/>
              <w:rPr>
                <w:sz w:val="20"/>
                <w:szCs w:val="20"/>
              </w:rPr>
            </w:pPr>
            <w:r>
              <w:rPr>
                <w:sz w:val="20"/>
                <w:szCs w:val="20"/>
              </w:rPr>
              <w:t>In Coul House Hotel, Contin IV14 9ES</w:t>
            </w:r>
          </w:p>
        </w:tc>
        <w:tc>
          <w:tcPr>
            <w:tcW w:w="3102" w:type="dxa"/>
          </w:tcPr>
          <w:p w14:paraId="7F27988B" w14:textId="77777777" w:rsidR="00360834" w:rsidRDefault="00360834" w:rsidP="00322463">
            <w:pPr>
              <w:pStyle w:val="NoSpacing"/>
              <w:rPr>
                <w:sz w:val="20"/>
                <w:szCs w:val="20"/>
              </w:rPr>
            </w:pPr>
            <w:r>
              <w:rPr>
                <w:sz w:val="20"/>
                <w:szCs w:val="20"/>
              </w:rPr>
              <w:t>William Edwards Miller, 74.5x62.5cm, oil on canvas. On loan to Coul House Hotel.</w:t>
            </w:r>
          </w:p>
        </w:tc>
      </w:tr>
      <w:tr w:rsidR="00AC61C8" w14:paraId="24480D07" w14:textId="77777777" w:rsidTr="00036FA2">
        <w:trPr>
          <w:trHeight w:val="240"/>
        </w:trPr>
        <w:tc>
          <w:tcPr>
            <w:tcW w:w="2951" w:type="dxa"/>
          </w:tcPr>
          <w:p w14:paraId="7ED0D72F" w14:textId="7780616E" w:rsidR="00AC61C8" w:rsidRDefault="00AC61C8" w:rsidP="00322463">
            <w:pPr>
              <w:pStyle w:val="NoSpacing"/>
              <w:rPr>
                <w:b/>
                <w:sz w:val="20"/>
                <w:szCs w:val="20"/>
              </w:rPr>
            </w:pPr>
            <w:r>
              <w:rPr>
                <w:b/>
                <w:sz w:val="20"/>
                <w:szCs w:val="20"/>
              </w:rPr>
              <w:t>Portrait – Sir George Stewart MacKenzie</w:t>
            </w:r>
          </w:p>
        </w:tc>
        <w:tc>
          <w:tcPr>
            <w:tcW w:w="2963" w:type="dxa"/>
          </w:tcPr>
          <w:p w14:paraId="2CDC2ED2" w14:textId="5269E5AD" w:rsidR="00AC61C8" w:rsidRDefault="00AC61C8" w:rsidP="00322463">
            <w:pPr>
              <w:pStyle w:val="NoSpacing"/>
              <w:rPr>
                <w:sz w:val="20"/>
                <w:szCs w:val="20"/>
              </w:rPr>
            </w:pPr>
            <w:r>
              <w:rPr>
                <w:sz w:val="20"/>
                <w:szCs w:val="20"/>
              </w:rPr>
              <w:t>In Coul House Hotel, Contin IV14 9ES</w:t>
            </w:r>
          </w:p>
        </w:tc>
        <w:tc>
          <w:tcPr>
            <w:tcW w:w="3102" w:type="dxa"/>
          </w:tcPr>
          <w:p w14:paraId="6CB692D7" w14:textId="77777777" w:rsidR="00391FA4" w:rsidRDefault="00391FA4" w:rsidP="00391FA4">
            <w:pPr>
              <w:pStyle w:val="NoSpacing"/>
              <w:rPr>
                <w:sz w:val="20"/>
                <w:szCs w:val="20"/>
              </w:rPr>
            </w:pPr>
            <w:r>
              <w:rPr>
                <w:sz w:val="20"/>
                <w:szCs w:val="20"/>
              </w:rPr>
              <w:t>Presented by Sir Robert MacKenzie in 1965 and transferred from County of Ross &amp; Cromarty in 1974.</w:t>
            </w:r>
          </w:p>
          <w:p w14:paraId="15FCF4CD" w14:textId="332C308D" w:rsidR="00AC61C8" w:rsidRDefault="00391FA4" w:rsidP="00391FA4">
            <w:pPr>
              <w:pStyle w:val="NoSpacing"/>
              <w:rPr>
                <w:sz w:val="20"/>
                <w:szCs w:val="20"/>
              </w:rPr>
            </w:pPr>
            <w:r>
              <w:rPr>
                <w:sz w:val="20"/>
                <w:szCs w:val="20"/>
              </w:rPr>
              <w:t>Artist unknown, 236x175cm, oil on canvas. On loan to Coul House Hotel.</w:t>
            </w:r>
          </w:p>
        </w:tc>
      </w:tr>
    </w:tbl>
    <w:p w14:paraId="4182E1BF" w14:textId="77777777" w:rsidR="007C05B4" w:rsidRDefault="007C05B4"/>
    <w:tbl>
      <w:tblPr>
        <w:tblStyle w:val="TableGrid"/>
        <w:tblW w:w="0" w:type="auto"/>
        <w:tblLook w:val="04A0" w:firstRow="1" w:lastRow="0" w:firstColumn="1" w:lastColumn="0" w:noHBand="0" w:noVBand="1"/>
      </w:tblPr>
      <w:tblGrid>
        <w:gridCol w:w="9016"/>
      </w:tblGrid>
      <w:tr w:rsidR="002C7334" w14:paraId="41EAAFC3" w14:textId="77777777" w:rsidTr="000C76A9">
        <w:trPr>
          <w:trHeight w:val="240"/>
        </w:trPr>
        <w:tc>
          <w:tcPr>
            <w:tcW w:w="9016" w:type="dxa"/>
            <w:shd w:val="clear" w:color="auto" w:fill="E5DFEC"/>
          </w:tcPr>
          <w:p w14:paraId="59C6FD27" w14:textId="7AD3E3D6" w:rsidR="002C7334" w:rsidRDefault="002C7334" w:rsidP="002C7334">
            <w:pPr>
              <w:pStyle w:val="NoSpacing"/>
              <w:jc w:val="center"/>
              <w:rPr>
                <w:sz w:val="20"/>
                <w:szCs w:val="20"/>
              </w:rPr>
            </w:pPr>
            <w:r>
              <w:rPr>
                <w:rFonts w:ascii="Calibri" w:eastAsia="Calibri" w:hAnsi="Calibri" w:cs="Times New Roman"/>
                <w:b/>
              </w:rPr>
              <w:t>COMMON GOOD FUND</w:t>
            </w:r>
          </w:p>
        </w:tc>
      </w:tr>
    </w:tbl>
    <w:p w14:paraId="551B3A59" w14:textId="77777777" w:rsidR="007C05B4" w:rsidRDefault="007C05B4"/>
    <w:tbl>
      <w:tblPr>
        <w:tblStyle w:val="TableGrid"/>
        <w:tblW w:w="0" w:type="auto"/>
        <w:tblLook w:val="04A0" w:firstRow="1" w:lastRow="0" w:firstColumn="1" w:lastColumn="0" w:noHBand="0" w:noVBand="1"/>
      </w:tblPr>
      <w:tblGrid>
        <w:gridCol w:w="2951"/>
        <w:gridCol w:w="2963"/>
        <w:gridCol w:w="3102"/>
      </w:tblGrid>
      <w:tr w:rsidR="002C7334" w14:paraId="32FA9E45" w14:textId="77777777" w:rsidTr="00036FA2">
        <w:trPr>
          <w:trHeight w:val="240"/>
        </w:trPr>
        <w:tc>
          <w:tcPr>
            <w:tcW w:w="2951" w:type="dxa"/>
          </w:tcPr>
          <w:p w14:paraId="1283B28C" w14:textId="733CD23D" w:rsidR="002C7334" w:rsidRDefault="002C7334" w:rsidP="002C7334">
            <w:pPr>
              <w:pStyle w:val="NoSpacing"/>
              <w:jc w:val="center"/>
              <w:rPr>
                <w:b/>
                <w:sz w:val="20"/>
                <w:szCs w:val="20"/>
              </w:rPr>
            </w:pPr>
            <w:r>
              <w:rPr>
                <w:b/>
              </w:rPr>
              <w:t>Name of asset</w:t>
            </w:r>
          </w:p>
        </w:tc>
        <w:tc>
          <w:tcPr>
            <w:tcW w:w="2963" w:type="dxa"/>
          </w:tcPr>
          <w:p w14:paraId="616552F0" w14:textId="52F6E677" w:rsidR="002C7334" w:rsidRDefault="002C7334" w:rsidP="002C7334">
            <w:pPr>
              <w:pStyle w:val="NoSpacing"/>
              <w:jc w:val="center"/>
              <w:rPr>
                <w:sz w:val="20"/>
                <w:szCs w:val="20"/>
              </w:rPr>
            </w:pPr>
            <w:r>
              <w:rPr>
                <w:b/>
              </w:rPr>
              <w:t>Location</w:t>
            </w:r>
          </w:p>
        </w:tc>
        <w:tc>
          <w:tcPr>
            <w:tcW w:w="3102" w:type="dxa"/>
          </w:tcPr>
          <w:p w14:paraId="072BB63B" w14:textId="5F3ACFDC" w:rsidR="002C7334" w:rsidRDefault="002C7334" w:rsidP="002C7334">
            <w:pPr>
              <w:pStyle w:val="NoSpacing"/>
              <w:jc w:val="center"/>
              <w:rPr>
                <w:sz w:val="20"/>
                <w:szCs w:val="20"/>
              </w:rPr>
            </w:pPr>
            <w:r>
              <w:rPr>
                <w:b/>
              </w:rPr>
              <w:t>Description</w:t>
            </w:r>
          </w:p>
        </w:tc>
      </w:tr>
      <w:tr w:rsidR="002C7334" w14:paraId="73B46E54" w14:textId="77777777" w:rsidTr="00036FA2">
        <w:trPr>
          <w:trHeight w:val="240"/>
        </w:trPr>
        <w:tc>
          <w:tcPr>
            <w:tcW w:w="2951" w:type="dxa"/>
          </w:tcPr>
          <w:p w14:paraId="55567D86" w14:textId="447D9FD0" w:rsidR="002C7334" w:rsidRDefault="002C7334" w:rsidP="002C7334">
            <w:pPr>
              <w:pStyle w:val="NoSpacing"/>
              <w:rPr>
                <w:b/>
                <w:sz w:val="20"/>
                <w:szCs w:val="20"/>
              </w:rPr>
            </w:pPr>
            <w:r>
              <w:rPr>
                <w:b/>
                <w:sz w:val="20"/>
                <w:szCs w:val="20"/>
              </w:rPr>
              <w:t>Dingwall Common Good Fund</w:t>
            </w:r>
          </w:p>
        </w:tc>
        <w:tc>
          <w:tcPr>
            <w:tcW w:w="2963" w:type="dxa"/>
          </w:tcPr>
          <w:p w14:paraId="721A5412" w14:textId="7408CE31" w:rsidR="002C7334" w:rsidRDefault="002C7334" w:rsidP="002C7334">
            <w:pPr>
              <w:pStyle w:val="NoSpacing"/>
              <w:rPr>
                <w:sz w:val="20"/>
                <w:szCs w:val="20"/>
              </w:rPr>
            </w:pPr>
            <w:r>
              <w:rPr>
                <w:sz w:val="20"/>
                <w:szCs w:val="20"/>
              </w:rPr>
              <w:t>N/A</w:t>
            </w:r>
          </w:p>
        </w:tc>
        <w:tc>
          <w:tcPr>
            <w:tcW w:w="3102" w:type="dxa"/>
          </w:tcPr>
          <w:p w14:paraId="771820EF" w14:textId="1B7A3FB7" w:rsidR="002C7334" w:rsidRDefault="002C7334" w:rsidP="002C7334">
            <w:pPr>
              <w:pStyle w:val="NoSpacing"/>
              <w:rPr>
                <w:sz w:val="20"/>
                <w:szCs w:val="20"/>
              </w:rPr>
            </w:pPr>
            <w:r w:rsidRPr="00C76CF3">
              <w:rPr>
                <w:sz w:val="20"/>
                <w:szCs w:val="20"/>
              </w:rPr>
              <w:t xml:space="preserve">Fund set up for benefit of former Burgh of </w:t>
            </w:r>
            <w:r>
              <w:rPr>
                <w:sz w:val="20"/>
                <w:szCs w:val="20"/>
              </w:rPr>
              <w:t>Dingwall</w:t>
            </w:r>
            <w:r w:rsidRPr="00C76CF3">
              <w:rPr>
                <w:sz w:val="20"/>
                <w:szCs w:val="20"/>
              </w:rPr>
              <w:t xml:space="preserve">. </w:t>
            </w:r>
            <w:r>
              <w:rPr>
                <w:sz w:val="20"/>
                <w:szCs w:val="20"/>
              </w:rPr>
              <w:t>Financial information about this fund is contained within the Annual Accounts and Area Committee monitoring reports which are available on the Highland Council website.</w:t>
            </w:r>
          </w:p>
        </w:tc>
      </w:tr>
    </w:tbl>
    <w:p w14:paraId="74074E7B" w14:textId="77777777" w:rsidR="00360834" w:rsidRDefault="00360834" w:rsidP="00360834">
      <w:pPr>
        <w:pStyle w:val="NoSpacing"/>
        <w:rPr>
          <w:b/>
          <w:u w:val="single"/>
        </w:rPr>
      </w:pPr>
    </w:p>
    <w:p w14:paraId="575AB3E0" w14:textId="77777777" w:rsidR="00360834" w:rsidRDefault="00360834" w:rsidP="00360834">
      <w:pPr>
        <w:pStyle w:val="NoSpacing"/>
        <w:rPr>
          <w:b/>
          <w:u w:val="single"/>
        </w:rPr>
      </w:pPr>
    </w:p>
    <w:p w14:paraId="360F1F0E" w14:textId="77777777" w:rsidR="00360834" w:rsidRDefault="00360834" w:rsidP="00360834">
      <w:pPr>
        <w:pStyle w:val="NoSpacing"/>
        <w:rPr>
          <w:b/>
          <w:u w:val="single"/>
        </w:rPr>
      </w:pPr>
    </w:p>
    <w:p w14:paraId="7D272A88" w14:textId="77777777" w:rsidR="00360834" w:rsidRDefault="00360834" w:rsidP="00360834"/>
    <w:p w14:paraId="6297AA6D" w14:textId="77777777" w:rsidR="00D4688B" w:rsidRDefault="00D4688B"/>
    <w:sectPr w:rsidR="00D4688B" w:rsidSect="009541A4">
      <w:headerReference w:type="default" r:id="rId9"/>
      <w:footerReference w:type="default" r:id="rId10"/>
      <w:footerReference w:type="first" r:id="rId11"/>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0F049" w14:textId="77777777" w:rsidR="0072257F" w:rsidRDefault="0072257F" w:rsidP="00360834">
      <w:pPr>
        <w:spacing w:after="0" w:line="240" w:lineRule="auto"/>
      </w:pPr>
      <w:r>
        <w:separator/>
      </w:r>
    </w:p>
  </w:endnote>
  <w:endnote w:type="continuationSeparator" w:id="0">
    <w:p w14:paraId="4AF8B6B8" w14:textId="77777777" w:rsidR="0072257F" w:rsidRDefault="0072257F" w:rsidP="00360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4C39" w14:textId="77777777" w:rsidR="009541A4" w:rsidRDefault="009541A4">
    <w:pPr>
      <w:pStyle w:val="Footer"/>
    </w:pPr>
    <w:r>
      <w:t>Highland Council</w:t>
    </w:r>
  </w:p>
  <w:p w14:paraId="61C9E592" w14:textId="4556B9AD" w:rsidR="009541A4" w:rsidRDefault="009541A4">
    <w:pPr>
      <w:pStyle w:val="Footer"/>
    </w:pPr>
    <w:r>
      <w:t xml:space="preserve">Published </w:t>
    </w:r>
    <w:r w:rsidR="005B6ACA">
      <w:t>February</w:t>
    </w:r>
    <w:r>
      <w:t xml:space="preserve"> 2020                                                                                                                                      </w:t>
    </w:r>
    <w:sdt>
      <w:sdtPr>
        <w:id w:val="-7842607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978FB17" w14:textId="77777777" w:rsidR="00000000" w:rsidRPr="00410DA6" w:rsidRDefault="00000000">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D556" w14:textId="77777777" w:rsidR="009541A4" w:rsidRDefault="009541A4" w:rsidP="009541A4">
    <w:pPr>
      <w:pStyle w:val="Footer"/>
    </w:pPr>
    <w:r>
      <w:t>Highland Council</w:t>
    </w:r>
  </w:p>
  <w:p w14:paraId="61C83828" w14:textId="77777777" w:rsidR="009541A4" w:rsidRDefault="009541A4" w:rsidP="009541A4">
    <w:pPr>
      <w:pStyle w:val="Footer"/>
    </w:pPr>
    <w:r>
      <w:t xml:space="preserve">Published January 2020                                                                                                                                     </w:t>
    </w:r>
    <w:sdt>
      <w:sdtPr>
        <w:id w:val="-9217177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91F305E" w14:textId="77777777" w:rsidR="00360834" w:rsidRDefault="00360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49499" w14:textId="77777777" w:rsidR="0072257F" w:rsidRDefault="0072257F" w:rsidP="00360834">
      <w:pPr>
        <w:spacing w:after="0" w:line="240" w:lineRule="auto"/>
      </w:pPr>
      <w:r>
        <w:separator/>
      </w:r>
    </w:p>
  </w:footnote>
  <w:footnote w:type="continuationSeparator" w:id="0">
    <w:p w14:paraId="6D0D172F" w14:textId="77777777" w:rsidR="0072257F" w:rsidRDefault="0072257F" w:rsidP="00360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23562" w14:textId="4B3B68BD" w:rsidR="00000000" w:rsidRPr="00004BDA" w:rsidRDefault="009541A4" w:rsidP="00004BDA">
    <w:pPr>
      <w:pStyle w:val="Header"/>
      <w:tabs>
        <w:tab w:val="clear" w:pos="9026"/>
        <w:tab w:val="left" w:pos="7233"/>
      </w:tabs>
      <w:rPr>
        <w:b/>
      </w:rPr>
    </w:pPr>
    <w:r>
      <w:rPr>
        <w:noProof/>
        <w:lang w:eastAsia="en-GB"/>
      </w:rPr>
      <w:drawing>
        <wp:inline distT="0" distB="0" distL="0" distR="0" wp14:anchorId="2EC7BD52" wp14:editId="1D707AA6">
          <wp:extent cx="1222511" cy="616689"/>
          <wp:effectExtent l="0" t="0" r="0" b="0"/>
          <wp:docPr id="2" name="Picture 2"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ighland Counci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723" cy="619822"/>
                  </a:xfrm>
                  <a:prstGeom prst="rect">
                    <a:avLst/>
                  </a:prstGeom>
                  <a:noFill/>
                  <a:ln>
                    <a:noFill/>
                  </a:ln>
                </pic:spPr>
              </pic:pic>
            </a:graphicData>
          </a:graphic>
        </wp:inline>
      </w:drawing>
    </w:r>
    <w:r w:rsidR="004B64CD">
      <w:t xml:space="preserve">       Common Good Asset Register for the former Burgh of Dingwall</w:t>
    </w:r>
    <w:r>
      <w:ptab w:relativeTo="margin" w:alignment="center" w:leader="none"/>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34"/>
    <w:rsid w:val="00004BDA"/>
    <w:rsid w:val="00036FA2"/>
    <w:rsid w:val="00290482"/>
    <w:rsid w:val="002C7334"/>
    <w:rsid w:val="00360834"/>
    <w:rsid w:val="00362ECE"/>
    <w:rsid w:val="00391FA4"/>
    <w:rsid w:val="004B64CD"/>
    <w:rsid w:val="00552DBE"/>
    <w:rsid w:val="00594FDC"/>
    <w:rsid w:val="005B6ACA"/>
    <w:rsid w:val="0072257F"/>
    <w:rsid w:val="007C05B4"/>
    <w:rsid w:val="008D2607"/>
    <w:rsid w:val="0092195B"/>
    <w:rsid w:val="009541A4"/>
    <w:rsid w:val="00A64E4A"/>
    <w:rsid w:val="00AC51BD"/>
    <w:rsid w:val="00AC61C8"/>
    <w:rsid w:val="00CB2BB3"/>
    <w:rsid w:val="00D4688B"/>
    <w:rsid w:val="00E90206"/>
    <w:rsid w:val="00EA6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40E9"/>
  <w15:chartTrackingRefBased/>
  <w15:docId w15:val="{42EEB2F9-BDD4-4BD5-9240-53A1C3C5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83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0834"/>
    <w:pPr>
      <w:spacing w:after="0" w:line="240" w:lineRule="auto"/>
    </w:pPr>
  </w:style>
  <w:style w:type="table" w:styleId="TableGrid">
    <w:name w:val="Table Grid"/>
    <w:basedOn w:val="TableNormal"/>
    <w:uiPriority w:val="59"/>
    <w:rsid w:val="00360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08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834"/>
  </w:style>
  <w:style w:type="paragraph" w:styleId="Footer">
    <w:name w:val="footer"/>
    <w:basedOn w:val="Normal"/>
    <w:link w:val="FooterChar"/>
    <w:uiPriority w:val="99"/>
    <w:unhideWhenUsed/>
    <w:rsid w:val="00360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1" ma:contentTypeDescription="Create a new document." ma:contentTypeScope="" ma:versionID="2086299966ff4358dd8d97422ea349d6">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6d8552aec50df75a84fa1de805675044"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B0AC5A-49D3-44DE-B0EC-09B13CA95D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36DDAD-9272-46F3-9351-BF0F5DEB1E44}">
  <ds:schemaRefs>
    <ds:schemaRef ds:uri="http://schemas.microsoft.com/sharepoint/v3/contenttype/forms"/>
  </ds:schemaRefs>
</ds:datastoreItem>
</file>

<file path=customXml/itemProps3.xml><?xml version="1.0" encoding="utf-8"?>
<ds:datastoreItem xmlns:ds="http://schemas.openxmlformats.org/officeDocument/2006/customXml" ds:itemID="{3C8A3F5E-A219-4CB9-AA78-72A757078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Ronan Hutchison (Improvement and Performance)</cp:lastModifiedBy>
  <cp:revision>17</cp:revision>
  <dcterms:created xsi:type="dcterms:W3CDTF">2019-12-24T10:17:00Z</dcterms:created>
  <dcterms:modified xsi:type="dcterms:W3CDTF">2025-11-11T14:31:00Z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