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5348" w14:textId="64007CF3" w:rsidR="003951E7" w:rsidRPr="003951E7" w:rsidRDefault="00C514F8" w:rsidP="003951E7">
      <w:pPr>
        <w:tabs>
          <w:tab w:val="center" w:pos="4513"/>
          <w:tab w:val="right" w:pos="9026"/>
        </w:tabs>
        <w:spacing w:after="0" w:line="240" w:lineRule="auto"/>
        <w:jc w:val="center"/>
        <w:rPr>
          <w:rFonts w:ascii="Calibri" w:eastAsia="Calibri" w:hAnsi="Calibri" w:cs="Calibri"/>
          <w:b/>
          <w:bCs/>
          <w:u w:val="single"/>
        </w:rPr>
      </w:pPr>
      <w:r>
        <w:rPr>
          <w:rFonts w:ascii="Calibri" w:eastAsia="Times New Roman" w:hAnsi="Calibri" w:cs="Times New Roman"/>
          <w:b/>
          <w:bCs/>
          <w:sz w:val="24"/>
          <w:szCs w:val="32"/>
          <w:u w:val="single"/>
          <w:lang w:val="en-US"/>
        </w:rPr>
        <w:t>COMMON GOOD ASSET REGISTER FOR</w:t>
      </w:r>
      <w:r w:rsidR="003951E7" w:rsidRPr="003951E7">
        <w:rPr>
          <w:rFonts w:ascii="Calibri" w:eastAsia="Times New Roman" w:hAnsi="Calibri" w:cs="Times New Roman"/>
          <w:b/>
          <w:bCs/>
          <w:sz w:val="24"/>
          <w:szCs w:val="32"/>
          <w:u w:val="single"/>
          <w:lang w:val="en-US"/>
        </w:rPr>
        <w:t xml:space="preserve"> THE </w:t>
      </w:r>
      <w:r w:rsidR="003951E7" w:rsidRPr="003951E7">
        <w:rPr>
          <w:rFonts w:ascii="Calibri" w:eastAsia="Calibri" w:hAnsi="Calibri" w:cs="Calibri"/>
          <w:b/>
          <w:bCs/>
          <w:sz w:val="24"/>
          <w:szCs w:val="24"/>
          <w:u w:val="single"/>
        </w:rPr>
        <w:t>FORMER BURGH OF KINGUSSIE</w:t>
      </w:r>
      <w:r w:rsidR="003951E7" w:rsidRPr="003951E7">
        <w:rPr>
          <w:rFonts w:ascii="Calibri" w:eastAsia="Calibri" w:hAnsi="Calibri" w:cs="Calibri"/>
          <w:b/>
          <w:bCs/>
          <w:u w:val="single"/>
        </w:rPr>
        <w:t xml:space="preserve"> </w:t>
      </w:r>
    </w:p>
    <w:p w14:paraId="35DEC9DF" w14:textId="77777777" w:rsidR="003951E7" w:rsidRPr="003951E7" w:rsidRDefault="003951E7" w:rsidP="003951E7">
      <w:pPr>
        <w:tabs>
          <w:tab w:val="center" w:pos="4513"/>
          <w:tab w:val="right" w:pos="9026"/>
        </w:tabs>
        <w:spacing w:after="0" w:line="240" w:lineRule="auto"/>
        <w:jc w:val="center"/>
        <w:rPr>
          <w:rFonts w:ascii="Calibri" w:eastAsia="Calibri" w:hAnsi="Calibri" w:cs="Times New Roman"/>
          <w:b/>
          <w:bCs/>
          <w:u w:val="single"/>
          <w:lang w:val="en-US"/>
        </w:rPr>
      </w:pPr>
    </w:p>
    <w:tbl>
      <w:tblPr>
        <w:tblStyle w:val="TableGrid1"/>
        <w:tblW w:w="10207" w:type="dxa"/>
        <w:tblInd w:w="-147" w:type="dxa"/>
        <w:tblLayout w:type="fixed"/>
        <w:tblLook w:val="06A0" w:firstRow="1" w:lastRow="0" w:firstColumn="1" w:lastColumn="0" w:noHBand="1" w:noVBand="1"/>
      </w:tblPr>
      <w:tblGrid>
        <w:gridCol w:w="10207"/>
      </w:tblGrid>
      <w:tr w:rsidR="003951E7" w:rsidRPr="003951E7" w14:paraId="16C0FDBB" w14:textId="77777777" w:rsidTr="00F175E2">
        <w:tc>
          <w:tcPr>
            <w:tcW w:w="10207" w:type="dxa"/>
          </w:tcPr>
          <w:p w14:paraId="3EF34C40" w14:textId="77777777" w:rsidR="003951E7" w:rsidRPr="003951E7" w:rsidRDefault="003951E7" w:rsidP="003951E7">
            <w:pPr>
              <w:jc w:val="center"/>
              <w:rPr>
                <w:rFonts w:ascii="Calibri" w:eastAsia="Calibri" w:hAnsi="Calibri" w:cs="Calibri"/>
                <w:b/>
                <w:bCs/>
              </w:rPr>
            </w:pPr>
            <w:r w:rsidRPr="003951E7">
              <w:rPr>
                <w:rFonts w:ascii="Calibri" w:eastAsia="Calibri" w:hAnsi="Calibri" w:cs="Calibri"/>
                <w:b/>
                <w:bCs/>
              </w:rPr>
              <w:t>LAND AND BUILDINGS</w:t>
            </w:r>
          </w:p>
        </w:tc>
      </w:tr>
      <w:tr w:rsidR="003951E7" w:rsidRPr="003951E7" w14:paraId="22D80359" w14:textId="77777777" w:rsidTr="00F175E2">
        <w:tc>
          <w:tcPr>
            <w:tcW w:w="10207" w:type="dxa"/>
          </w:tcPr>
          <w:p w14:paraId="04D2B78B" w14:textId="77777777" w:rsidR="003951E7" w:rsidRPr="003951E7" w:rsidRDefault="003951E7" w:rsidP="003951E7">
            <w:pPr>
              <w:rPr>
                <w:rFonts w:ascii="Calibri" w:eastAsia="Calibri" w:hAnsi="Calibri" w:cs="Calibri"/>
              </w:rPr>
            </w:pPr>
            <w:r w:rsidRPr="003951E7">
              <w:rPr>
                <w:rFonts w:ascii="Calibri" w:eastAsia="Calibri" w:hAnsi="Calibri" w:cs="Calibri"/>
              </w:rPr>
              <w:t>In 1464 Kingussie was created a burgh of barony by King James III in favour of Alexander Gordon, 1</w:t>
            </w:r>
            <w:r w:rsidRPr="003951E7">
              <w:rPr>
                <w:rFonts w:ascii="Calibri" w:eastAsia="Calibri" w:hAnsi="Calibri" w:cs="Calibri"/>
                <w:vertAlign w:val="superscript"/>
              </w:rPr>
              <w:t>st</w:t>
            </w:r>
            <w:r w:rsidRPr="003951E7">
              <w:rPr>
                <w:rFonts w:ascii="Calibri" w:eastAsia="Calibri" w:hAnsi="Calibri" w:cs="Calibri"/>
              </w:rPr>
              <w:t xml:space="preserve"> Earl of Huntly. It then became a Police Burgh in 1867.</w:t>
            </w:r>
          </w:p>
        </w:tc>
      </w:tr>
    </w:tbl>
    <w:p w14:paraId="374F3BC9" w14:textId="77777777" w:rsidR="0010710E" w:rsidRDefault="0010710E"/>
    <w:tbl>
      <w:tblPr>
        <w:tblStyle w:val="TableGrid1"/>
        <w:tblW w:w="10207" w:type="dxa"/>
        <w:tblInd w:w="-147" w:type="dxa"/>
        <w:tblLayout w:type="fixed"/>
        <w:tblLook w:val="06A0" w:firstRow="1" w:lastRow="0" w:firstColumn="1" w:lastColumn="0" w:noHBand="1" w:noVBand="1"/>
      </w:tblPr>
      <w:tblGrid>
        <w:gridCol w:w="3119"/>
        <w:gridCol w:w="3402"/>
        <w:gridCol w:w="3686"/>
      </w:tblGrid>
      <w:tr w:rsidR="003951E7" w:rsidRPr="003951E7" w14:paraId="50A51FD4" w14:textId="77777777" w:rsidTr="00F175E2">
        <w:tc>
          <w:tcPr>
            <w:tcW w:w="3119" w:type="dxa"/>
          </w:tcPr>
          <w:p w14:paraId="54053B7B" w14:textId="77777777" w:rsidR="003951E7" w:rsidRPr="003951E7" w:rsidRDefault="003951E7" w:rsidP="003951E7">
            <w:pPr>
              <w:jc w:val="center"/>
              <w:rPr>
                <w:rFonts w:ascii="Calibri" w:eastAsia="Calibri" w:hAnsi="Calibri" w:cs="Calibri"/>
                <w:b/>
                <w:bCs/>
                <w:u w:val="single"/>
              </w:rPr>
            </w:pPr>
            <w:r w:rsidRPr="003951E7">
              <w:rPr>
                <w:rFonts w:ascii="Calibri" w:eastAsia="Calibri" w:hAnsi="Calibri" w:cs="Calibri"/>
                <w:b/>
                <w:bCs/>
              </w:rPr>
              <w:t>Name of asset</w:t>
            </w:r>
          </w:p>
        </w:tc>
        <w:tc>
          <w:tcPr>
            <w:tcW w:w="3402" w:type="dxa"/>
          </w:tcPr>
          <w:p w14:paraId="67C7C8D4" w14:textId="77777777" w:rsidR="003951E7" w:rsidRPr="003951E7" w:rsidRDefault="003951E7" w:rsidP="003951E7">
            <w:pPr>
              <w:jc w:val="center"/>
              <w:rPr>
                <w:rFonts w:ascii="Calibri" w:eastAsia="Calibri" w:hAnsi="Calibri" w:cs="Calibri"/>
                <w:b/>
                <w:bCs/>
              </w:rPr>
            </w:pPr>
            <w:r w:rsidRPr="003951E7">
              <w:rPr>
                <w:rFonts w:ascii="Calibri" w:eastAsia="Calibri" w:hAnsi="Calibri" w:cs="Calibri"/>
                <w:b/>
                <w:bCs/>
              </w:rPr>
              <w:t>Location</w:t>
            </w:r>
          </w:p>
        </w:tc>
        <w:tc>
          <w:tcPr>
            <w:tcW w:w="3686" w:type="dxa"/>
          </w:tcPr>
          <w:p w14:paraId="76706379" w14:textId="77777777" w:rsidR="003951E7" w:rsidRPr="003951E7" w:rsidRDefault="003951E7" w:rsidP="003951E7">
            <w:pPr>
              <w:jc w:val="center"/>
              <w:rPr>
                <w:rFonts w:ascii="Calibri" w:eastAsia="Calibri" w:hAnsi="Calibri" w:cs="Calibri"/>
                <w:b/>
                <w:bCs/>
                <w:u w:val="single"/>
              </w:rPr>
            </w:pPr>
            <w:r w:rsidRPr="003951E7">
              <w:rPr>
                <w:rFonts w:ascii="Calibri" w:eastAsia="Calibri" w:hAnsi="Calibri" w:cs="Calibri"/>
                <w:b/>
                <w:bCs/>
              </w:rPr>
              <w:t>Description</w:t>
            </w:r>
          </w:p>
        </w:tc>
      </w:tr>
      <w:tr w:rsidR="003951E7" w:rsidRPr="003951E7" w14:paraId="05CF8990" w14:textId="77777777" w:rsidTr="00F175E2">
        <w:tc>
          <w:tcPr>
            <w:tcW w:w="3119" w:type="dxa"/>
          </w:tcPr>
          <w:p w14:paraId="69C2E00E" w14:textId="77777777" w:rsidR="003951E7" w:rsidRPr="003951E7" w:rsidRDefault="003951E7" w:rsidP="003951E7">
            <w:pPr>
              <w:rPr>
                <w:rFonts w:ascii="Calibri" w:eastAsia="Calibri" w:hAnsi="Calibri" w:cs="Calibri"/>
                <w:b/>
                <w:sz w:val="20"/>
                <w:szCs w:val="20"/>
              </w:rPr>
            </w:pPr>
            <w:proofErr w:type="spellStart"/>
            <w:r w:rsidRPr="003951E7">
              <w:rPr>
                <w:rFonts w:ascii="Calibri" w:eastAsia="Calibri" w:hAnsi="Calibri" w:cs="Calibri"/>
                <w:b/>
                <w:sz w:val="20"/>
                <w:szCs w:val="20"/>
              </w:rPr>
              <w:t>Ardvonie</w:t>
            </w:r>
            <w:proofErr w:type="spellEnd"/>
            <w:r w:rsidRPr="003951E7">
              <w:rPr>
                <w:rFonts w:ascii="Calibri" w:eastAsia="Calibri" w:hAnsi="Calibri" w:cs="Calibri"/>
                <w:b/>
                <w:sz w:val="20"/>
                <w:szCs w:val="20"/>
              </w:rPr>
              <w:t xml:space="preserve"> Car Park</w:t>
            </w:r>
          </w:p>
        </w:tc>
        <w:tc>
          <w:tcPr>
            <w:tcW w:w="3402" w:type="dxa"/>
          </w:tcPr>
          <w:p w14:paraId="741A6355"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Gynack Road, PH21 1HE.</w:t>
            </w:r>
          </w:p>
          <w:p w14:paraId="3361A37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CAGUPRN: 130112555</w:t>
            </w:r>
          </w:p>
          <w:p w14:paraId="43C83816"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Bordered by Tait’s Brae Play Park and the surgery to the north, part of Tait’s Brae Play Park on the east, Moray Bank on the south and Tait’s Brae Play Park and the toilets on the west.</w:t>
            </w:r>
          </w:p>
        </w:tc>
        <w:tc>
          <w:tcPr>
            <w:tcW w:w="3686" w:type="dxa"/>
          </w:tcPr>
          <w:p w14:paraId="731C7E81"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Site area: 2100m².</w:t>
            </w:r>
          </w:p>
          <w:p w14:paraId="272E04E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The area of the car park was acquired in the same deed as Tait’s Brae play park.</w:t>
            </w:r>
          </w:p>
          <w:p w14:paraId="2B7E5334"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Title deed: Trustee of James E B Baillie (Nellie Lisa, Baroness Burton) to Provost, Magistrates &amp; Councillors of Burgh of Kingussie recorded 8 March 1956.</w:t>
            </w:r>
          </w:p>
          <w:p w14:paraId="284ACA75"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Land is subject to the condition that the land is for use as a recreation ground and for no other purpose.</w:t>
            </w:r>
          </w:p>
          <w:p w14:paraId="5845B8CE"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Inalienable.</w:t>
            </w:r>
          </w:p>
        </w:tc>
      </w:tr>
      <w:tr w:rsidR="003951E7" w:rsidRPr="003951E7" w14:paraId="4AC3D149" w14:textId="77777777" w:rsidTr="00F175E2">
        <w:tc>
          <w:tcPr>
            <w:tcW w:w="3119" w:type="dxa"/>
          </w:tcPr>
          <w:p w14:paraId="05DCFACF"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Tait’s Brae Play Park</w:t>
            </w:r>
          </w:p>
        </w:tc>
        <w:tc>
          <w:tcPr>
            <w:tcW w:w="3402" w:type="dxa"/>
          </w:tcPr>
          <w:p w14:paraId="098E9219"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Ardvonie Road</w:t>
            </w:r>
          </w:p>
          <w:p w14:paraId="3D8773B7"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CAGUPRN: 130112542.</w:t>
            </w:r>
          </w:p>
          <w:p w14:paraId="106F1AE2"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Bordered on the north west be the rear of  properties Ardvonie to Spey cottage on south of Old Distillery Road, on the west and south west by Tait’s Brae/Ardvonie Road, on the south east by the rear of Mcinnes Cottage, Tigh-na-Beag and Duke of Gordon Hotel, continuing around Ardvonie Car Park and the Surgery to the eastern border at the rear of properties Ardmore to Tom Liath.</w:t>
            </w:r>
          </w:p>
        </w:tc>
        <w:tc>
          <w:tcPr>
            <w:tcW w:w="3686" w:type="dxa"/>
          </w:tcPr>
          <w:p w14:paraId="11671D0E"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Site area: 11,200 m² approx.</w:t>
            </w:r>
          </w:p>
          <w:p w14:paraId="3BD26A78"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The area of the playing fields was acquired by the same deed as the land now used as Ardvonie Car Park.</w:t>
            </w:r>
          </w:p>
          <w:p w14:paraId="124B42E8"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Title deed: Trustee of James E B Baillie (Nellie Lisa, Baroness Burton) to Provost, Magistrates&amp; Councillors of Burgh of Kingussie recorded 8 March 1956.</w:t>
            </w:r>
          </w:p>
          <w:p w14:paraId="6C52726E"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Land is subject to the condition that the land is for use as a recreation ground and for no other purpose.</w:t>
            </w:r>
          </w:p>
          <w:p w14:paraId="31FCCFFC"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sz w:val="20"/>
                <w:szCs w:val="20"/>
              </w:rPr>
              <w:t>Inalienable.</w:t>
            </w:r>
          </w:p>
        </w:tc>
      </w:tr>
      <w:tr w:rsidR="003951E7" w:rsidRPr="003951E7" w14:paraId="128ED134" w14:textId="77777777" w:rsidTr="00F175E2">
        <w:tc>
          <w:tcPr>
            <w:tcW w:w="3119" w:type="dxa"/>
          </w:tcPr>
          <w:p w14:paraId="5540B615"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Market stance (Livestock market) and shinty pitch</w:t>
            </w:r>
          </w:p>
          <w:p w14:paraId="232A68BF" w14:textId="77777777" w:rsidR="003951E7" w:rsidRDefault="003951E7" w:rsidP="003951E7">
            <w:pPr>
              <w:rPr>
                <w:rFonts w:ascii="Calibri" w:eastAsia="Calibri" w:hAnsi="Calibri" w:cs="Calibri"/>
                <w:b/>
                <w:bCs/>
                <w:sz w:val="20"/>
                <w:szCs w:val="20"/>
              </w:rPr>
            </w:pPr>
          </w:p>
          <w:p w14:paraId="1EEBFC66" w14:textId="77777777" w:rsidR="00C426C4" w:rsidRPr="00C426C4" w:rsidRDefault="00C426C4" w:rsidP="00C426C4">
            <w:pPr>
              <w:rPr>
                <w:rFonts w:ascii="Calibri" w:eastAsia="Calibri" w:hAnsi="Calibri" w:cs="Calibri"/>
                <w:sz w:val="20"/>
                <w:szCs w:val="20"/>
              </w:rPr>
            </w:pPr>
          </w:p>
          <w:p w14:paraId="2227E2A3" w14:textId="77777777" w:rsidR="00C426C4" w:rsidRPr="00C426C4" w:rsidRDefault="00C426C4" w:rsidP="00C426C4">
            <w:pPr>
              <w:rPr>
                <w:rFonts w:ascii="Calibri" w:eastAsia="Calibri" w:hAnsi="Calibri" w:cs="Calibri"/>
                <w:sz w:val="20"/>
                <w:szCs w:val="20"/>
              </w:rPr>
            </w:pPr>
          </w:p>
          <w:p w14:paraId="5F7F5C94" w14:textId="77777777" w:rsidR="00C426C4" w:rsidRPr="00C426C4" w:rsidRDefault="00C426C4" w:rsidP="00C426C4">
            <w:pPr>
              <w:rPr>
                <w:rFonts w:ascii="Calibri" w:eastAsia="Calibri" w:hAnsi="Calibri" w:cs="Calibri"/>
                <w:sz w:val="20"/>
                <w:szCs w:val="20"/>
              </w:rPr>
            </w:pPr>
          </w:p>
          <w:p w14:paraId="51768019" w14:textId="77777777" w:rsidR="00C426C4" w:rsidRPr="00C426C4" w:rsidRDefault="00C426C4" w:rsidP="00C426C4">
            <w:pPr>
              <w:rPr>
                <w:rFonts w:ascii="Calibri" w:eastAsia="Calibri" w:hAnsi="Calibri" w:cs="Calibri"/>
                <w:sz w:val="20"/>
                <w:szCs w:val="20"/>
              </w:rPr>
            </w:pPr>
          </w:p>
          <w:p w14:paraId="5B12533B" w14:textId="77777777" w:rsidR="00C426C4" w:rsidRPr="00C426C4" w:rsidRDefault="00C426C4" w:rsidP="00C426C4">
            <w:pPr>
              <w:rPr>
                <w:rFonts w:ascii="Calibri" w:eastAsia="Calibri" w:hAnsi="Calibri" w:cs="Calibri"/>
                <w:sz w:val="20"/>
                <w:szCs w:val="20"/>
              </w:rPr>
            </w:pPr>
          </w:p>
          <w:p w14:paraId="213BF7D8" w14:textId="77777777" w:rsidR="00C426C4" w:rsidRPr="00C426C4" w:rsidRDefault="00C426C4" w:rsidP="00C426C4">
            <w:pPr>
              <w:rPr>
                <w:rFonts w:ascii="Calibri" w:eastAsia="Calibri" w:hAnsi="Calibri" w:cs="Calibri"/>
                <w:sz w:val="20"/>
                <w:szCs w:val="20"/>
              </w:rPr>
            </w:pPr>
          </w:p>
          <w:p w14:paraId="53521CE5" w14:textId="77777777" w:rsidR="00C426C4" w:rsidRPr="00C426C4" w:rsidRDefault="00C426C4" w:rsidP="00C426C4">
            <w:pPr>
              <w:rPr>
                <w:rFonts w:ascii="Calibri" w:eastAsia="Calibri" w:hAnsi="Calibri" w:cs="Calibri"/>
                <w:sz w:val="20"/>
                <w:szCs w:val="20"/>
              </w:rPr>
            </w:pPr>
          </w:p>
          <w:p w14:paraId="68916CC4" w14:textId="77777777" w:rsidR="00C426C4" w:rsidRPr="00C426C4" w:rsidRDefault="00C426C4" w:rsidP="00C426C4">
            <w:pPr>
              <w:rPr>
                <w:rFonts w:ascii="Calibri" w:eastAsia="Calibri" w:hAnsi="Calibri" w:cs="Calibri"/>
                <w:sz w:val="20"/>
                <w:szCs w:val="20"/>
              </w:rPr>
            </w:pPr>
          </w:p>
          <w:p w14:paraId="4E343A13" w14:textId="77777777" w:rsidR="00C426C4" w:rsidRDefault="00C426C4" w:rsidP="00C426C4">
            <w:pPr>
              <w:rPr>
                <w:rFonts w:ascii="Calibri" w:eastAsia="Calibri" w:hAnsi="Calibri" w:cs="Calibri"/>
                <w:b/>
                <w:bCs/>
                <w:sz w:val="20"/>
                <w:szCs w:val="20"/>
              </w:rPr>
            </w:pPr>
          </w:p>
          <w:p w14:paraId="0016BEF5" w14:textId="77777777" w:rsidR="00C426C4" w:rsidRPr="00C426C4" w:rsidRDefault="00C426C4" w:rsidP="00C426C4">
            <w:pPr>
              <w:rPr>
                <w:rFonts w:ascii="Calibri" w:eastAsia="Calibri" w:hAnsi="Calibri" w:cs="Calibri"/>
                <w:sz w:val="20"/>
                <w:szCs w:val="20"/>
              </w:rPr>
            </w:pPr>
          </w:p>
          <w:p w14:paraId="711AE2E7" w14:textId="77777777" w:rsidR="00C426C4" w:rsidRPr="00C426C4" w:rsidRDefault="00C426C4" w:rsidP="00C426C4">
            <w:pPr>
              <w:rPr>
                <w:rFonts w:ascii="Calibri" w:eastAsia="Calibri" w:hAnsi="Calibri" w:cs="Calibri"/>
                <w:sz w:val="20"/>
                <w:szCs w:val="20"/>
              </w:rPr>
            </w:pPr>
          </w:p>
          <w:p w14:paraId="52C4FBA7" w14:textId="77777777" w:rsidR="00C426C4" w:rsidRPr="00C426C4" w:rsidRDefault="00C426C4" w:rsidP="00C426C4">
            <w:pPr>
              <w:rPr>
                <w:rFonts w:ascii="Calibri" w:eastAsia="Calibri" w:hAnsi="Calibri" w:cs="Calibri"/>
                <w:sz w:val="20"/>
                <w:szCs w:val="20"/>
              </w:rPr>
            </w:pPr>
          </w:p>
          <w:p w14:paraId="451AEB69" w14:textId="77777777" w:rsidR="00C426C4" w:rsidRDefault="00C426C4" w:rsidP="00C426C4">
            <w:pPr>
              <w:rPr>
                <w:rFonts w:ascii="Calibri" w:eastAsia="Calibri" w:hAnsi="Calibri" w:cs="Calibri"/>
                <w:b/>
                <w:bCs/>
                <w:sz w:val="20"/>
                <w:szCs w:val="20"/>
              </w:rPr>
            </w:pPr>
          </w:p>
          <w:p w14:paraId="26BC3718" w14:textId="77777777" w:rsidR="00C426C4" w:rsidRPr="00C426C4" w:rsidRDefault="00C426C4" w:rsidP="00C426C4">
            <w:pPr>
              <w:rPr>
                <w:rFonts w:ascii="Calibri" w:eastAsia="Calibri" w:hAnsi="Calibri" w:cs="Calibri"/>
                <w:sz w:val="20"/>
                <w:szCs w:val="20"/>
              </w:rPr>
            </w:pPr>
          </w:p>
          <w:p w14:paraId="2E96384B" w14:textId="34C5E3AD" w:rsidR="00C426C4" w:rsidRPr="00C426C4" w:rsidRDefault="00C426C4" w:rsidP="00C426C4">
            <w:pPr>
              <w:jc w:val="center"/>
              <w:rPr>
                <w:rFonts w:ascii="Calibri" w:eastAsia="Calibri" w:hAnsi="Calibri" w:cs="Calibri"/>
                <w:sz w:val="20"/>
                <w:szCs w:val="20"/>
              </w:rPr>
            </w:pPr>
          </w:p>
        </w:tc>
        <w:tc>
          <w:tcPr>
            <w:tcW w:w="3402" w:type="dxa"/>
          </w:tcPr>
          <w:p w14:paraId="53FA67F7"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lastRenderedPageBreak/>
              <w:t>Ruthven Road, PH21 1ER.</w:t>
            </w:r>
          </w:p>
          <w:p w14:paraId="48735CF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CAGUPRN (Pitch): 130112545.</w:t>
            </w:r>
          </w:p>
          <w:p w14:paraId="28FA8EB5" w14:textId="77777777" w:rsidR="003951E7" w:rsidRDefault="003951E7" w:rsidP="003951E7">
            <w:pPr>
              <w:rPr>
                <w:rFonts w:ascii="Calibri" w:eastAsia="Calibri" w:hAnsi="Calibri" w:cs="Calibri"/>
                <w:sz w:val="20"/>
                <w:szCs w:val="20"/>
              </w:rPr>
            </w:pPr>
            <w:r w:rsidRPr="003951E7">
              <w:rPr>
                <w:rFonts w:ascii="Calibri" w:eastAsia="Calibri" w:hAnsi="Calibri" w:cs="Calibri"/>
                <w:sz w:val="20"/>
                <w:szCs w:val="20"/>
              </w:rPr>
              <w:t xml:space="preserve">Bordered on the north by Market Lane, on the east by Ruthven Road, on the south by open land and on the west by open land, Kingussie Recycling Centre/Civic Amenity Site and lane adjacent to light industrial units but excluding the area </w:t>
            </w:r>
            <w:r w:rsidR="00AF0E4B">
              <w:rPr>
                <w:rFonts w:ascii="Calibri" w:eastAsia="Calibri" w:hAnsi="Calibri" w:cs="Calibri"/>
                <w:sz w:val="20"/>
                <w:szCs w:val="20"/>
              </w:rPr>
              <w:t>that was sold to</w:t>
            </w:r>
            <w:r w:rsidRPr="003951E7">
              <w:rPr>
                <w:rFonts w:ascii="Calibri" w:eastAsia="Calibri" w:hAnsi="Calibri" w:cs="Calibri"/>
                <w:sz w:val="20"/>
                <w:szCs w:val="20"/>
              </w:rPr>
              <w:t xml:space="preserve"> Northern Co-operative Society by Badenoch &amp; Strathspey District Council in 1977. </w:t>
            </w:r>
          </w:p>
          <w:p w14:paraId="0CC1B78A" w14:textId="46FAE156" w:rsidR="00AF0E4B" w:rsidRPr="003951E7" w:rsidRDefault="00AF0E4B" w:rsidP="003951E7">
            <w:pPr>
              <w:rPr>
                <w:rFonts w:ascii="Calibri" w:eastAsia="Calibri" w:hAnsi="Calibri" w:cs="Calibri"/>
                <w:sz w:val="20"/>
                <w:szCs w:val="20"/>
              </w:rPr>
            </w:pPr>
            <w:r>
              <w:rPr>
                <w:rFonts w:ascii="Calibri" w:eastAsia="Calibri" w:hAnsi="Calibri" w:cs="Calibri"/>
                <w:sz w:val="20"/>
                <w:szCs w:val="20"/>
              </w:rPr>
              <w:t>Title to the Shinty Clubhouse has been transferred to Kingussie Camana</w:t>
            </w:r>
            <w:r w:rsidR="004F6E1A">
              <w:rPr>
                <w:rFonts w:ascii="Calibri" w:eastAsia="Calibri" w:hAnsi="Calibri" w:cs="Calibri"/>
                <w:sz w:val="20"/>
                <w:szCs w:val="20"/>
              </w:rPr>
              <w:t>chd</w:t>
            </w:r>
            <w:r>
              <w:rPr>
                <w:rFonts w:ascii="Calibri" w:eastAsia="Calibri" w:hAnsi="Calibri" w:cs="Calibri"/>
                <w:sz w:val="20"/>
                <w:szCs w:val="20"/>
              </w:rPr>
              <w:t xml:space="preserve"> Club pursuant to an agreement that predated the Common Good part of </w:t>
            </w:r>
            <w:r>
              <w:rPr>
                <w:rFonts w:ascii="Calibri" w:eastAsia="Calibri" w:hAnsi="Calibri" w:cs="Calibri"/>
                <w:sz w:val="20"/>
                <w:szCs w:val="20"/>
              </w:rPr>
              <w:lastRenderedPageBreak/>
              <w:t>the Community Empowerment (Scotland) Act 2015 coming into force.</w:t>
            </w:r>
          </w:p>
        </w:tc>
        <w:tc>
          <w:tcPr>
            <w:tcW w:w="3686" w:type="dxa"/>
          </w:tcPr>
          <w:p w14:paraId="7EAAD3C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lastRenderedPageBreak/>
              <w:t>Site area: 15,700 m² or thereby.</w:t>
            </w:r>
          </w:p>
          <w:p w14:paraId="7A8AED9A"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Title deed: Feu Charter by Trustee of James E B Baillie (Nellie Lisa, Baroness Burton) to Provost, Magistrates &amp; Councillors of Burgh of Kingussie recorded 23 January 1947.</w:t>
            </w:r>
          </w:p>
          <w:p w14:paraId="3ECA204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 xml:space="preserve">Land is subject to the condition that it is “for the purpose of being used as a Playing Field for the use of the inhabitants of the said Burgh of Kingussie and for no other purpose without consent”. However, it is also declared that it may be used for “markets and for Travelling Shows and Circuses”. The deed also provides that it must remain unbuilt upon for all time coming with the exception of a </w:t>
            </w:r>
            <w:r w:rsidRPr="003951E7">
              <w:rPr>
                <w:rFonts w:ascii="Calibri" w:eastAsia="Calibri" w:hAnsi="Calibri" w:cs="Calibri"/>
                <w:sz w:val="20"/>
                <w:szCs w:val="20"/>
              </w:rPr>
              <w:lastRenderedPageBreak/>
              <w:t>pavilion for use in connection with recreation.</w:t>
            </w:r>
          </w:p>
          <w:p w14:paraId="6B4472CB"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Inalienable.</w:t>
            </w:r>
          </w:p>
          <w:p w14:paraId="3BF4C86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Northern portion is leased for use as a livestock market and the lower portion is occupied by Kingussie Camanachd Club.</w:t>
            </w:r>
          </w:p>
          <w:p w14:paraId="38B85482" w14:textId="77777777" w:rsidR="003951E7" w:rsidRPr="003951E7" w:rsidRDefault="003951E7" w:rsidP="003951E7">
            <w:pPr>
              <w:rPr>
                <w:rFonts w:ascii="Calibri" w:eastAsia="Calibri" w:hAnsi="Calibri" w:cs="Calibri"/>
                <w:color w:val="FF0000"/>
                <w:sz w:val="20"/>
                <w:szCs w:val="20"/>
              </w:rPr>
            </w:pPr>
          </w:p>
        </w:tc>
      </w:tr>
      <w:tr w:rsidR="003951E7" w:rsidRPr="003951E7" w14:paraId="01659432" w14:textId="77777777" w:rsidTr="00F175E2">
        <w:tc>
          <w:tcPr>
            <w:tcW w:w="3119" w:type="dxa"/>
          </w:tcPr>
          <w:p w14:paraId="0BFC606E"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lastRenderedPageBreak/>
              <w:t>Putting Green</w:t>
            </w:r>
          </w:p>
        </w:tc>
        <w:tc>
          <w:tcPr>
            <w:tcW w:w="3402" w:type="dxa"/>
          </w:tcPr>
          <w:p w14:paraId="6C0C19B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Spey Street, PH21 1EL.</w:t>
            </w:r>
          </w:p>
          <w:p w14:paraId="2742DBA5"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CAGUPRN: 130112547.</w:t>
            </w:r>
          </w:p>
          <w:p w14:paraId="4AF106E8"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Rectangular piece of land bordered on south by railway line, on west by eastern boundary of Gynack Lane, on north by Spey Street and on east by the western boundary of the Bowling Green and land belonging to the Hon. Alexander James Baillie of Dochfour (this land lies between the southern boundary of the Bowling Green and the railway line).</w:t>
            </w:r>
          </w:p>
        </w:tc>
        <w:tc>
          <w:tcPr>
            <w:tcW w:w="3686" w:type="dxa"/>
          </w:tcPr>
          <w:p w14:paraId="1BA2D471"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Only part of the putting green is Common Good, the rest is privately owned.</w:t>
            </w:r>
          </w:p>
          <w:p w14:paraId="50BCA494"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Common Good area: 2025 m² approx.</w:t>
            </w:r>
          </w:p>
          <w:p w14:paraId="70029E13"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Title deed: Bank of Scotland to Provost, Magistrates &amp; Councillors of Burgh of Kingussie recorded 22 February 1967.</w:t>
            </w:r>
          </w:p>
          <w:p w14:paraId="2F7736B7"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Land was gifted for use solely as a putting green and garden ground.</w:t>
            </w:r>
          </w:p>
          <w:p w14:paraId="0B7ACF0B"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Inalienable.</w:t>
            </w:r>
          </w:p>
        </w:tc>
      </w:tr>
      <w:tr w:rsidR="003951E7" w:rsidRPr="003951E7" w14:paraId="49ADFD4D" w14:textId="77777777" w:rsidTr="00F175E2">
        <w:tc>
          <w:tcPr>
            <w:tcW w:w="3119" w:type="dxa"/>
          </w:tcPr>
          <w:p w14:paraId="30F2E24F"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Putting Green sheds and adjacent land</w:t>
            </w:r>
          </w:p>
        </w:tc>
        <w:tc>
          <w:tcPr>
            <w:tcW w:w="3402" w:type="dxa"/>
          </w:tcPr>
          <w:p w14:paraId="70E0C79D"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Spey Street, PH21 1EL.</w:t>
            </w:r>
          </w:p>
          <w:p w14:paraId="7A56D259"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CAGUPRN: 130112547.</w:t>
            </w:r>
          </w:p>
          <w:p w14:paraId="6FD08FBF"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Bordered on the north by Spey Street, on the east by the lane separating this land from the Putting Green, on the south by the railway line and on the west by the Gynack Burn.</w:t>
            </w:r>
          </w:p>
        </w:tc>
        <w:tc>
          <w:tcPr>
            <w:tcW w:w="3686" w:type="dxa"/>
          </w:tcPr>
          <w:p w14:paraId="2F27967D"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Site area: 480 m² approx.</w:t>
            </w:r>
          </w:p>
          <w:p w14:paraId="1CC4F5E1"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Title deed: James Evan Bruce Baillie of Dochfour to Provost, Magistrates &amp; Councillors of Burgh of Kingussie recorded 2 November 1923.</w:t>
            </w:r>
          </w:p>
          <w:p w14:paraId="4B19829E"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Land was gifted for the purposes of the erection of 2 low buildings to be used as stores and for no other purpose.</w:t>
            </w:r>
          </w:p>
          <w:p w14:paraId="2CB4C4FC"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Land is land of the Burgh not acquired for statutory purpose or held under a special trust and therefore, is considered to be Common Good.</w:t>
            </w:r>
          </w:p>
          <w:p w14:paraId="2DF5CC5E"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Inalienable.</w:t>
            </w:r>
          </w:p>
        </w:tc>
      </w:tr>
      <w:tr w:rsidR="003951E7" w:rsidRPr="003951E7" w14:paraId="7954069A" w14:textId="77777777" w:rsidTr="00F175E2">
        <w:tc>
          <w:tcPr>
            <w:tcW w:w="3119" w:type="dxa"/>
          </w:tcPr>
          <w:p w14:paraId="0579C7E4" w14:textId="1D4D34C7" w:rsidR="003951E7" w:rsidRPr="003951E7" w:rsidRDefault="003951E7" w:rsidP="003951E7">
            <w:pPr>
              <w:rPr>
                <w:rFonts w:ascii="Calibri" w:eastAsia="Calibri" w:hAnsi="Calibri" w:cs="Calibri"/>
                <w:b/>
                <w:bCs/>
                <w:sz w:val="20"/>
                <w:szCs w:val="20"/>
              </w:rPr>
            </w:pPr>
            <w:r>
              <w:rPr>
                <w:rFonts w:ascii="Calibri" w:eastAsia="Calibri" w:hAnsi="Calibri" w:cs="Calibri"/>
                <w:b/>
                <w:bCs/>
                <w:sz w:val="20"/>
                <w:szCs w:val="20"/>
              </w:rPr>
              <w:t xml:space="preserve">Kingussie Tennis Courts </w:t>
            </w:r>
          </w:p>
        </w:tc>
        <w:tc>
          <w:tcPr>
            <w:tcW w:w="3402" w:type="dxa"/>
          </w:tcPr>
          <w:p w14:paraId="1BC46DA9" w14:textId="77777777" w:rsidR="003951E7" w:rsidRDefault="003951E7" w:rsidP="003951E7">
            <w:pPr>
              <w:rPr>
                <w:rFonts w:ascii="Calibri" w:eastAsia="Calibri" w:hAnsi="Calibri" w:cs="Calibri"/>
                <w:sz w:val="20"/>
                <w:szCs w:val="20"/>
              </w:rPr>
            </w:pPr>
            <w:r>
              <w:rPr>
                <w:rFonts w:ascii="Calibri" w:eastAsia="Calibri" w:hAnsi="Calibri" w:cs="Calibri"/>
                <w:sz w:val="20"/>
                <w:szCs w:val="20"/>
              </w:rPr>
              <w:t>Ardbroilach Road</w:t>
            </w:r>
          </w:p>
          <w:p w14:paraId="59897A9C" w14:textId="77777777" w:rsidR="003951E7" w:rsidRDefault="003951E7" w:rsidP="003951E7">
            <w:pPr>
              <w:rPr>
                <w:rFonts w:ascii="Calibri" w:eastAsia="Calibri" w:hAnsi="Calibri" w:cs="Calibri"/>
                <w:sz w:val="20"/>
                <w:szCs w:val="20"/>
              </w:rPr>
            </w:pPr>
            <w:r>
              <w:rPr>
                <w:rFonts w:ascii="Calibri" w:eastAsia="Calibri" w:hAnsi="Calibri" w:cs="Calibri"/>
                <w:sz w:val="20"/>
                <w:szCs w:val="20"/>
              </w:rPr>
              <w:t>PH21 1LD</w:t>
            </w:r>
          </w:p>
          <w:p w14:paraId="36F7BA69" w14:textId="77777777" w:rsidR="003951E7" w:rsidRDefault="003951E7" w:rsidP="003951E7">
            <w:pPr>
              <w:rPr>
                <w:rFonts w:ascii="Calibri" w:eastAsia="Calibri" w:hAnsi="Calibri" w:cs="Calibri"/>
                <w:sz w:val="20"/>
                <w:szCs w:val="20"/>
              </w:rPr>
            </w:pPr>
            <w:r>
              <w:rPr>
                <w:rFonts w:ascii="Calibri" w:eastAsia="Calibri" w:hAnsi="Calibri" w:cs="Calibri"/>
                <w:sz w:val="20"/>
                <w:szCs w:val="20"/>
              </w:rPr>
              <w:t>CAGUPRN: 130112548</w:t>
            </w:r>
          </w:p>
          <w:p w14:paraId="2BF6349F" w14:textId="5A8E95A1" w:rsidR="003951E7" w:rsidRPr="003951E7" w:rsidRDefault="003951E7" w:rsidP="003951E7">
            <w:pPr>
              <w:rPr>
                <w:rFonts w:ascii="Calibri" w:eastAsia="Calibri" w:hAnsi="Calibri" w:cs="Calibri"/>
                <w:sz w:val="20"/>
                <w:szCs w:val="20"/>
              </w:rPr>
            </w:pPr>
            <w:r>
              <w:rPr>
                <w:rFonts w:ascii="Calibri" w:eastAsia="Calibri" w:hAnsi="Calibri" w:cs="Calibri"/>
                <w:sz w:val="20"/>
                <w:szCs w:val="20"/>
              </w:rPr>
              <w:t>Located between properties known as Millstones and Rosemount on Ardbroilach Road and adjacent to woodland owned by Kingussie Community Development Company.</w:t>
            </w:r>
          </w:p>
        </w:tc>
        <w:tc>
          <w:tcPr>
            <w:tcW w:w="3686" w:type="dxa"/>
          </w:tcPr>
          <w:p w14:paraId="520ED4A6" w14:textId="77777777" w:rsidR="003951E7" w:rsidRDefault="003951E7" w:rsidP="003951E7">
            <w:pPr>
              <w:rPr>
                <w:rFonts w:ascii="Calibri" w:eastAsia="Calibri" w:hAnsi="Calibri" w:cs="Calibri"/>
                <w:sz w:val="20"/>
                <w:szCs w:val="20"/>
              </w:rPr>
            </w:pPr>
            <w:r>
              <w:rPr>
                <w:rFonts w:ascii="Calibri" w:eastAsia="Calibri" w:hAnsi="Calibri" w:cs="Calibri"/>
                <w:sz w:val="20"/>
                <w:szCs w:val="20"/>
              </w:rPr>
              <w:t>Site area: 2873.25</w:t>
            </w:r>
            <w:r w:rsidRPr="003951E7">
              <w:rPr>
                <w:rFonts w:ascii="Calibri" w:eastAsia="Calibri" w:hAnsi="Calibri" w:cs="Calibri"/>
                <w:sz w:val="20"/>
                <w:szCs w:val="20"/>
              </w:rPr>
              <w:t xml:space="preserve"> m²</w:t>
            </w:r>
            <w:r>
              <w:rPr>
                <w:rFonts w:ascii="Calibri" w:eastAsia="Calibri" w:hAnsi="Calibri" w:cs="Calibri"/>
                <w:sz w:val="20"/>
                <w:szCs w:val="20"/>
              </w:rPr>
              <w:t xml:space="preserve"> or thereby.</w:t>
            </w:r>
          </w:p>
          <w:p w14:paraId="7E82956D" w14:textId="77777777" w:rsidR="003951E7" w:rsidRDefault="003951E7" w:rsidP="003951E7">
            <w:pPr>
              <w:rPr>
                <w:rFonts w:ascii="Calibri" w:eastAsia="Calibri" w:hAnsi="Calibri" w:cs="Calibri"/>
                <w:b/>
                <w:bCs/>
                <w:sz w:val="20"/>
                <w:szCs w:val="20"/>
              </w:rPr>
            </w:pPr>
            <w:r>
              <w:rPr>
                <w:rFonts w:ascii="Calibri" w:eastAsia="Calibri" w:hAnsi="Calibri" w:cs="Calibri"/>
                <w:b/>
                <w:bCs/>
                <w:sz w:val="20"/>
                <w:szCs w:val="20"/>
              </w:rPr>
              <w:t xml:space="preserve">Title deed: James Evan Bruce Baillie of Dochfour to Provost, Magistrates &amp; Councillors of Burgh of Kingussie recorded </w:t>
            </w:r>
            <w:r w:rsidR="0093720C">
              <w:rPr>
                <w:rFonts w:ascii="Calibri" w:eastAsia="Calibri" w:hAnsi="Calibri" w:cs="Calibri"/>
                <w:b/>
                <w:bCs/>
                <w:sz w:val="20"/>
                <w:szCs w:val="20"/>
              </w:rPr>
              <w:t>16 December 1920.</w:t>
            </w:r>
          </w:p>
          <w:p w14:paraId="3DF964FF" w14:textId="4E2C9EC6" w:rsidR="0093720C" w:rsidRDefault="0093720C" w:rsidP="003951E7">
            <w:pPr>
              <w:rPr>
                <w:rFonts w:ascii="Calibri" w:eastAsia="Calibri" w:hAnsi="Calibri" w:cs="Calibri"/>
                <w:sz w:val="20"/>
                <w:szCs w:val="20"/>
              </w:rPr>
            </w:pPr>
            <w:r>
              <w:rPr>
                <w:rFonts w:ascii="Calibri" w:eastAsia="Calibri" w:hAnsi="Calibri" w:cs="Calibri"/>
                <w:sz w:val="20"/>
                <w:szCs w:val="20"/>
              </w:rPr>
              <w:t>Land was gifted to be used for the purpose of forming public tennis courts for the Burgh of Kingussie and for no other purpose. Leased out.</w:t>
            </w:r>
          </w:p>
          <w:p w14:paraId="1F4D737B" w14:textId="601DD105" w:rsidR="0093720C" w:rsidRPr="0093720C" w:rsidRDefault="0093720C" w:rsidP="003951E7">
            <w:pPr>
              <w:rPr>
                <w:rFonts w:ascii="Calibri" w:eastAsia="Calibri" w:hAnsi="Calibri" w:cs="Calibri"/>
                <w:sz w:val="20"/>
                <w:szCs w:val="20"/>
              </w:rPr>
            </w:pPr>
            <w:r>
              <w:rPr>
                <w:rFonts w:ascii="Calibri" w:eastAsia="Calibri" w:hAnsi="Calibri" w:cs="Calibri"/>
                <w:sz w:val="20"/>
                <w:szCs w:val="20"/>
              </w:rPr>
              <w:t>Inalienable.</w:t>
            </w:r>
          </w:p>
        </w:tc>
      </w:tr>
      <w:tr w:rsidR="003951E7" w:rsidRPr="003951E7" w14:paraId="70139780" w14:textId="77777777" w:rsidTr="00F175E2">
        <w:tc>
          <w:tcPr>
            <w:tcW w:w="3119" w:type="dxa"/>
          </w:tcPr>
          <w:p w14:paraId="32DB53EE"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Clock Tower and land for location of Clock Tower.</w:t>
            </w:r>
          </w:p>
        </w:tc>
        <w:tc>
          <w:tcPr>
            <w:tcW w:w="3402" w:type="dxa"/>
          </w:tcPr>
          <w:p w14:paraId="232FACF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East Terrace.</w:t>
            </w:r>
          </w:p>
          <w:p w14:paraId="770AB7CC"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Land for the location of the Clock Tower is bordered on the east and south by land that is privately owned (properties Cnoc Ard and Villa Latina), on the west by Ardbroilach Road and on the north by East Terrace.</w:t>
            </w:r>
          </w:p>
          <w:p w14:paraId="7139FEEC"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lastRenderedPageBreak/>
              <w:t>The Clock Tower is located on this land approximately 40 metres east of Ardbroilach Road.</w:t>
            </w:r>
          </w:p>
        </w:tc>
        <w:tc>
          <w:tcPr>
            <w:tcW w:w="3686" w:type="dxa"/>
          </w:tcPr>
          <w:p w14:paraId="58F5A0A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lastRenderedPageBreak/>
              <w:t>Site area of location land: 420 m² approx.</w:t>
            </w:r>
          </w:p>
          <w:p w14:paraId="6220859F"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The gift of the Clock Tower and the land for its location are contained in separate titles.</w:t>
            </w:r>
          </w:p>
          <w:p w14:paraId="14B320FF" w14:textId="77777777" w:rsidR="003951E7" w:rsidRPr="003951E7" w:rsidRDefault="003951E7" w:rsidP="003951E7">
            <w:pPr>
              <w:numPr>
                <w:ilvl w:val="0"/>
                <w:numId w:val="1"/>
              </w:numPr>
              <w:contextualSpacing/>
              <w:rPr>
                <w:rFonts w:ascii="Calibri" w:eastAsia="Calibri" w:hAnsi="Calibri" w:cs="Calibri"/>
                <w:b/>
                <w:bCs/>
                <w:sz w:val="20"/>
                <w:szCs w:val="20"/>
              </w:rPr>
            </w:pPr>
            <w:r w:rsidRPr="003951E7">
              <w:rPr>
                <w:rFonts w:ascii="Calibri" w:eastAsia="Calibri" w:hAnsi="Calibri" w:cs="Calibri"/>
                <w:b/>
                <w:bCs/>
                <w:sz w:val="20"/>
                <w:szCs w:val="20"/>
              </w:rPr>
              <w:t xml:space="preserve">Clock Tower: The Tower bears the inscription – “This tower and clock were gifted to the Burgh of Kingussie by John Duncan </w:t>
            </w:r>
            <w:r w:rsidRPr="003951E7">
              <w:rPr>
                <w:rFonts w:ascii="Calibri" w:eastAsia="Calibri" w:hAnsi="Calibri" w:cs="Calibri"/>
                <w:b/>
                <w:bCs/>
                <w:sz w:val="20"/>
                <w:szCs w:val="20"/>
              </w:rPr>
              <w:lastRenderedPageBreak/>
              <w:t xml:space="preserve">McGruer Esq. Invercargill, New Zealand, a native of the town. 1925 “Mar Chuimhneachan””. </w:t>
            </w:r>
          </w:p>
          <w:p w14:paraId="37059042" w14:textId="77777777" w:rsidR="003951E7" w:rsidRPr="003951E7" w:rsidRDefault="003951E7" w:rsidP="003951E7">
            <w:pPr>
              <w:rPr>
                <w:rFonts w:ascii="Calibri" w:eastAsia="Calibri" w:hAnsi="Calibri" w:cs="Calibri"/>
                <w:b/>
                <w:bCs/>
                <w:sz w:val="20"/>
                <w:szCs w:val="20"/>
              </w:rPr>
            </w:pPr>
          </w:p>
          <w:p w14:paraId="6B7C019A" w14:textId="77777777" w:rsidR="003951E7" w:rsidRPr="003951E7" w:rsidRDefault="003951E7" w:rsidP="003951E7">
            <w:pPr>
              <w:numPr>
                <w:ilvl w:val="0"/>
                <w:numId w:val="1"/>
              </w:numPr>
              <w:contextualSpacing/>
              <w:rPr>
                <w:rFonts w:ascii="Calibri" w:eastAsia="Calibri" w:hAnsi="Calibri" w:cs="Calibri"/>
                <w:b/>
                <w:bCs/>
                <w:sz w:val="20"/>
                <w:szCs w:val="20"/>
              </w:rPr>
            </w:pPr>
            <w:r w:rsidRPr="003951E7">
              <w:rPr>
                <w:rFonts w:ascii="Calibri" w:eastAsia="Calibri" w:hAnsi="Calibri" w:cs="Calibri"/>
                <w:b/>
                <w:bCs/>
                <w:sz w:val="20"/>
                <w:szCs w:val="20"/>
              </w:rPr>
              <w:t>Location – Title deed: William Wolfenden &amp; William McGruer to the Provost, Magistrates &amp; Councillors of the Burgh of Kingussie recorded 16 December 1925.</w:t>
            </w:r>
          </w:p>
          <w:p w14:paraId="0F5651AE" w14:textId="77777777" w:rsidR="003951E7" w:rsidRPr="003951E7" w:rsidRDefault="003951E7" w:rsidP="003951E7">
            <w:pPr>
              <w:ind w:left="720"/>
              <w:contextualSpacing/>
              <w:rPr>
                <w:rFonts w:ascii="Calibri" w:eastAsia="Calibri" w:hAnsi="Calibri" w:cs="Calibri"/>
                <w:sz w:val="20"/>
                <w:szCs w:val="20"/>
              </w:rPr>
            </w:pPr>
            <w:r w:rsidRPr="003951E7">
              <w:rPr>
                <w:rFonts w:ascii="Calibri" w:eastAsia="Calibri" w:hAnsi="Calibri" w:cs="Calibri"/>
                <w:sz w:val="20"/>
                <w:szCs w:val="20"/>
              </w:rPr>
              <w:t>Land was specifically acquired and gifted for the purpose of the erection of the Clock Tower and for use as a “pleasure ground or open space for the use of the inhabitants of the Burgh of Kingussie in all time coming”.</w:t>
            </w:r>
          </w:p>
          <w:p w14:paraId="7D8846DD"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Inalienable.</w:t>
            </w:r>
          </w:p>
        </w:tc>
      </w:tr>
    </w:tbl>
    <w:p w14:paraId="75B57112" w14:textId="77777777" w:rsidR="0010710E" w:rsidRDefault="0010710E"/>
    <w:tbl>
      <w:tblPr>
        <w:tblStyle w:val="TableGrid1"/>
        <w:tblW w:w="10207" w:type="dxa"/>
        <w:tblInd w:w="-147" w:type="dxa"/>
        <w:tblLayout w:type="fixed"/>
        <w:tblLook w:val="06A0" w:firstRow="1" w:lastRow="0" w:firstColumn="1" w:lastColumn="0" w:noHBand="1" w:noVBand="1"/>
      </w:tblPr>
      <w:tblGrid>
        <w:gridCol w:w="10207"/>
      </w:tblGrid>
      <w:tr w:rsidR="003951E7" w:rsidRPr="003951E7" w14:paraId="589DB1C3" w14:textId="77777777" w:rsidTr="00F175E2">
        <w:tc>
          <w:tcPr>
            <w:tcW w:w="10207" w:type="dxa"/>
          </w:tcPr>
          <w:p w14:paraId="3AA7F639" w14:textId="77777777" w:rsidR="003951E7" w:rsidRPr="003951E7" w:rsidRDefault="003951E7" w:rsidP="003951E7">
            <w:pPr>
              <w:jc w:val="center"/>
              <w:rPr>
                <w:rFonts w:ascii="Calibri" w:eastAsia="Calibri" w:hAnsi="Calibri" w:cs="Calibri"/>
                <w:b/>
              </w:rPr>
            </w:pPr>
            <w:r w:rsidRPr="003951E7">
              <w:rPr>
                <w:rFonts w:ascii="Calibri" w:eastAsia="Calibri" w:hAnsi="Calibri" w:cs="Calibri"/>
                <w:b/>
              </w:rPr>
              <w:t>ART AND ARTIFACTS</w:t>
            </w:r>
          </w:p>
        </w:tc>
      </w:tr>
    </w:tbl>
    <w:p w14:paraId="4CBFC4B0" w14:textId="77777777" w:rsidR="0010710E" w:rsidRDefault="0010710E"/>
    <w:tbl>
      <w:tblPr>
        <w:tblStyle w:val="TableGrid1"/>
        <w:tblW w:w="10207" w:type="dxa"/>
        <w:tblInd w:w="-147" w:type="dxa"/>
        <w:tblLayout w:type="fixed"/>
        <w:tblLook w:val="06A0" w:firstRow="1" w:lastRow="0" w:firstColumn="1" w:lastColumn="0" w:noHBand="1" w:noVBand="1"/>
      </w:tblPr>
      <w:tblGrid>
        <w:gridCol w:w="3119"/>
        <w:gridCol w:w="3402"/>
        <w:gridCol w:w="3686"/>
      </w:tblGrid>
      <w:tr w:rsidR="003951E7" w:rsidRPr="003951E7" w14:paraId="5D2A0457" w14:textId="77777777" w:rsidTr="00F175E2">
        <w:tc>
          <w:tcPr>
            <w:tcW w:w="3119" w:type="dxa"/>
          </w:tcPr>
          <w:p w14:paraId="34B96380" w14:textId="77777777" w:rsidR="003951E7" w:rsidRPr="003951E7" w:rsidRDefault="003951E7" w:rsidP="003951E7">
            <w:pPr>
              <w:jc w:val="center"/>
              <w:rPr>
                <w:rFonts w:ascii="Calibri" w:eastAsia="Calibri" w:hAnsi="Calibri" w:cs="Calibri"/>
                <w:b/>
                <w:bCs/>
              </w:rPr>
            </w:pPr>
            <w:r w:rsidRPr="003951E7">
              <w:rPr>
                <w:rFonts w:ascii="Calibri" w:eastAsia="Calibri" w:hAnsi="Calibri" w:cs="Calibri"/>
                <w:b/>
                <w:bCs/>
              </w:rPr>
              <w:t>Name of asset</w:t>
            </w:r>
          </w:p>
        </w:tc>
        <w:tc>
          <w:tcPr>
            <w:tcW w:w="3402" w:type="dxa"/>
          </w:tcPr>
          <w:p w14:paraId="472B0149" w14:textId="77777777" w:rsidR="003951E7" w:rsidRPr="003951E7" w:rsidRDefault="003951E7" w:rsidP="003951E7">
            <w:pPr>
              <w:jc w:val="center"/>
              <w:rPr>
                <w:rFonts w:ascii="Calibri" w:eastAsia="Calibri" w:hAnsi="Calibri" w:cs="Calibri"/>
                <w:b/>
              </w:rPr>
            </w:pPr>
            <w:r w:rsidRPr="003951E7">
              <w:rPr>
                <w:rFonts w:ascii="Calibri" w:eastAsia="Calibri" w:hAnsi="Calibri" w:cs="Calibri"/>
                <w:b/>
              </w:rPr>
              <w:t>Location</w:t>
            </w:r>
          </w:p>
        </w:tc>
        <w:tc>
          <w:tcPr>
            <w:tcW w:w="3686" w:type="dxa"/>
          </w:tcPr>
          <w:p w14:paraId="57DD3AEA" w14:textId="77777777" w:rsidR="003951E7" w:rsidRPr="003951E7" w:rsidRDefault="003951E7" w:rsidP="003951E7">
            <w:pPr>
              <w:jc w:val="center"/>
              <w:rPr>
                <w:rFonts w:ascii="Calibri" w:eastAsia="Calibri" w:hAnsi="Calibri" w:cs="Calibri"/>
                <w:b/>
              </w:rPr>
            </w:pPr>
            <w:r w:rsidRPr="003951E7">
              <w:rPr>
                <w:rFonts w:ascii="Calibri" w:eastAsia="Calibri" w:hAnsi="Calibri" w:cs="Calibri"/>
                <w:b/>
              </w:rPr>
              <w:t>Description</w:t>
            </w:r>
          </w:p>
        </w:tc>
      </w:tr>
      <w:tr w:rsidR="003951E7" w:rsidRPr="003951E7" w14:paraId="2F5A888B" w14:textId="77777777" w:rsidTr="00F175E2">
        <w:tc>
          <w:tcPr>
            <w:tcW w:w="3119" w:type="dxa"/>
          </w:tcPr>
          <w:p w14:paraId="2FF55593"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Provost Chain of Office</w:t>
            </w:r>
          </w:p>
        </w:tc>
        <w:tc>
          <w:tcPr>
            <w:tcW w:w="3402" w:type="dxa"/>
          </w:tcPr>
          <w:p w14:paraId="71E0A551"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Am Fasgadh Folk Museum</w:t>
            </w:r>
          </w:p>
          <w:p w14:paraId="5233081D"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Kingussie</w:t>
            </w:r>
          </w:p>
        </w:tc>
        <w:tc>
          <w:tcPr>
            <w:tcW w:w="3686" w:type="dxa"/>
          </w:tcPr>
          <w:p w14:paraId="0ACB2BC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Solid silver chain set with gemstones dating from 1960’s. This is a replacement of the original Provost Chain whose whereabouts is unknown.</w:t>
            </w:r>
          </w:p>
        </w:tc>
      </w:tr>
    </w:tbl>
    <w:p w14:paraId="73E9653B" w14:textId="77777777" w:rsidR="0010710E" w:rsidRDefault="0010710E"/>
    <w:tbl>
      <w:tblPr>
        <w:tblStyle w:val="TableGrid1"/>
        <w:tblW w:w="10207" w:type="dxa"/>
        <w:tblInd w:w="-147" w:type="dxa"/>
        <w:tblLayout w:type="fixed"/>
        <w:tblLook w:val="06A0" w:firstRow="1" w:lastRow="0" w:firstColumn="1" w:lastColumn="0" w:noHBand="1" w:noVBand="1"/>
      </w:tblPr>
      <w:tblGrid>
        <w:gridCol w:w="10207"/>
      </w:tblGrid>
      <w:tr w:rsidR="003951E7" w:rsidRPr="003951E7" w14:paraId="73086E84" w14:textId="77777777" w:rsidTr="00F175E2">
        <w:tc>
          <w:tcPr>
            <w:tcW w:w="10207" w:type="dxa"/>
          </w:tcPr>
          <w:p w14:paraId="3F3518E2" w14:textId="77777777" w:rsidR="003951E7" w:rsidRPr="003951E7" w:rsidRDefault="003951E7" w:rsidP="003951E7">
            <w:pPr>
              <w:jc w:val="center"/>
              <w:rPr>
                <w:rFonts w:ascii="Calibri" w:eastAsia="Calibri" w:hAnsi="Calibri" w:cs="Calibri"/>
                <w:b/>
                <w:bCs/>
              </w:rPr>
            </w:pPr>
            <w:r w:rsidRPr="003951E7">
              <w:rPr>
                <w:rFonts w:ascii="Calibri" w:eastAsia="Calibri" w:hAnsi="Calibri" w:cs="Calibri"/>
                <w:b/>
                <w:bCs/>
              </w:rPr>
              <w:t>COMMON GOOD FUND</w:t>
            </w:r>
          </w:p>
        </w:tc>
      </w:tr>
    </w:tbl>
    <w:p w14:paraId="5BDD8BB5" w14:textId="77777777" w:rsidR="0010710E" w:rsidRDefault="0010710E"/>
    <w:tbl>
      <w:tblPr>
        <w:tblStyle w:val="TableGrid1"/>
        <w:tblW w:w="10207" w:type="dxa"/>
        <w:tblInd w:w="-147" w:type="dxa"/>
        <w:tblLayout w:type="fixed"/>
        <w:tblLook w:val="06A0" w:firstRow="1" w:lastRow="0" w:firstColumn="1" w:lastColumn="0" w:noHBand="1" w:noVBand="1"/>
      </w:tblPr>
      <w:tblGrid>
        <w:gridCol w:w="3119"/>
        <w:gridCol w:w="3402"/>
        <w:gridCol w:w="3686"/>
      </w:tblGrid>
      <w:tr w:rsidR="003951E7" w:rsidRPr="003951E7" w14:paraId="6E38177B" w14:textId="77777777" w:rsidTr="00F175E2">
        <w:tc>
          <w:tcPr>
            <w:tcW w:w="3119" w:type="dxa"/>
          </w:tcPr>
          <w:p w14:paraId="2584A4AF" w14:textId="77777777" w:rsidR="003951E7" w:rsidRPr="003951E7" w:rsidRDefault="003951E7" w:rsidP="003951E7">
            <w:pPr>
              <w:jc w:val="center"/>
              <w:rPr>
                <w:rFonts w:ascii="Calibri" w:eastAsia="Calibri" w:hAnsi="Calibri" w:cs="Calibri"/>
                <w:b/>
                <w:bCs/>
                <w:sz w:val="20"/>
                <w:szCs w:val="20"/>
              </w:rPr>
            </w:pPr>
            <w:r w:rsidRPr="003951E7">
              <w:rPr>
                <w:rFonts w:ascii="Calibri" w:eastAsia="Calibri" w:hAnsi="Calibri" w:cs="Calibri"/>
                <w:b/>
                <w:bCs/>
              </w:rPr>
              <w:t>Name of asset</w:t>
            </w:r>
          </w:p>
        </w:tc>
        <w:tc>
          <w:tcPr>
            <w:tcW w:w="3402" w:type="dxa"/>
          </w:tcPr>
          <w:p w14:paraId="6CAE823F" w14:textId="77777777" w:rsidR="003951E7" w:rsidRPr="003951E7" w:rsidRDefault="003951E7" w:rsidP="003951E7">
            <w:pPr>
              <w:jc w:val="center"/>
              <w:rPr>
                <w:rFonts w:ascii="Calibri" w:eastAsia="Calibri" w:hAnsi="Calibri" w:cs="Calibri"/>
                <w:iCs/>
                <w:sz w:val="20"/>
                <w:szCs w:val="20"/>
              </w:rPr>
            </w:pPr>
            <w:r w:rsidRPr="003951E7">
              <w:rPr>
                <w:rFonts w:ascii="Calibri" w:eastAsia="Calibri" w:hAnsi="Calibri" w:cs="Calibri"/>
                <w:b/>
              </w:rPr>
              <w:t>Location</w:t>
            </w:r>
          </w:p>
        </w:tc>
        <w:tc>
          <w:tcPr>
            <w:tcW w:w="3686" w:type="dxa"/>
          </w:tcPr>
          <w:p w14:paraId="7DC79F52" w14:textId="77777777" w:rsidR="003951E7" w:rsidRPr="003951E7" w:rsidRDefault="003951E7" w:rsidP="003951E7">
            <w:pPr>
              <w:jc w:val="center"/>
              <w:rPr>
                <w:rFonts w:ascii="Calibri" w:eastAsia="Calibri" w:hAnsi="Calibri" w:cs="Calibri"/>
                <w:sz w:val="20"/>
                <w:szCs w:val="20"/>
              </w:rPr>
            </w:pPr>
            <w:r w:rsidRPr="003951E7">
              <w:rPr>
                <w:rFonts w:ascii="Calibri" w:eastAsia="Calibri" w:hAnsi="Calibri" w:cs="Calibri"/>
                <w:b/>
              </w:rPr>
              <w:t>Description</w:t>
            </w:r>
          </w:p>
        </w:tc>
      </w:tr>
      <w:tr w:rsidR="003951E7" w:rsidRPr="003951E7" w14:paraId="299C7DB1" w14:textId="77777777" w:rsidTr="00F175E2">
        <w:tc>
          <w:tcPr>
            <w:tcW w:w="3119" w:type="dxa"/>
          </w:tcPr>
          <w:p w14:paraId="78E9ABE9"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Kingussie Common Good Fund</w:t>
            </w:r>
          </w:p>
        </w:tc>
        <w:tc>
          <w:tcPr>
            <w:tcW w:w="3402" w:type="dxa"/>
          </w:tcPr>
          <w:p w14:paraId="37750EF1" w14:textId="77777777" w:rsidR="003951E7" w:rsidRPr="003951E7" w:rsidRDefault="003951E7" w:rsidP="003951E7">
            <w:pPr>
              <w:rPr>
                <w:rFonts w:ascii="Calibri" w:eastAsia="Calibri" w:hAnsi="Calibri" w:cs="Calibri"/>
                <w:iCs/>
                <w:sz w:val="20"/>
                <w:szCs w:val="20"/>
              </w:rPr>
            </w:pPr>
            <w:r w:rsidRPr="003951E7">
              <w:rPr>
                <w:rFonts w:ascii="Calibri" w:eastAsia="Calibri" w:hAnsi="Calibri" w:cs="Calibri"/>
                <w:iCs/>
                <w:sz w:val="20"/>
                <w:szCs w:val="20"/>
              </w:rPr>
              <w:t>N/A</w:t>
            </w:r>
          </w:p>
        </w:tc>
        <w:tc>
          <w:tcPr>
            <w:tcW w:w="3686" w:type="dxa"/>
          </w:tcPr>
          <w:p w14:paraId="20CB12C9" w14:textId="77777777" w:rsidR="003951E7" w:rsidRPr="003951E7" w:rsidRDefault="003951E7" w:rsidP="003951E7">
            <w:pPr>
              <w:rPr>
                <w:rFonts w:ascii="Calibri" w:eastAsia="Calibri" w:hAnsi="Calibri" w:cs="Calibri"/>
                <w:sz w:val="20"/>
                <w:szCs w:val="20"/>
              </w:rPr>
            </w:pPr>
            <w:r w:rsidRPr="003951E7">
              <w:rPr>
                <w:rFonts w:ascii="Calibri" w:eastAsia="Calibri" w:hAnsi="Calibri" w:cs="Times New Roman"/>
                <w:sz w:val="20"/>
                <w:szCs w:val="20"/>
              </w:rPr>
              <w:t>Fund set up for benefit of former Burgh of Kingussie. Financial information about this fund is contained within the Annual Accounts and Area Committee monitoring reports which are available on the Highland Council website.</w:t>
            </w:r>
          </w:p>
        </w:tc>
      </w:tr>
    </w:tbl>
    <w:p w14:paraId="738EAC84" w14:textId="77777777" w:rsidR="003951E7" w:rsidRPr="003951E7" w:rsidRDefault="003951E7" w:rsidP="003951E7">
      <w:pPr>
        <w:rPr>
          <w:rFonts w:ascii="Calibri" w:eastAsia="Calibri" w:hAnsi="Calibri" w:cs="Times New Roman"/>
          <w:lang w:val="en-US"/>
        </w:rPr>
      </w:pPr>
    </w:p>
    <w:p w14:paraId="437D2D27" w14:textId="77777777" w:rsidR="003951E7" w:rsidRPr="003951E7" w:rsidRDefault="003951E7" w:rsidP="003951E7">
      <w:pPr>
        <w:rPr>
          <w:rFonts w:ascii="Calibri" w:eastAsia="Calibri" w:hAnsi="Calibri" w:cs="Times New Roman"/>
          <w:lang w:val="en-US"/>
        </w:rPr>
      </w:pPr>
    </w:p>
    <w:p w14:paraId="343A0BE8" w14:textId="77777777" w:rsidR="003951E7" w:rsidRPr="003951E7" w:rsidRDefault="003951E7" w:rsidP="003951E7"/>
    <w:p w14:paraId="44F962E3" w14:textId="77777777" w:rsidR="0031026F" w:rsidRDefault="0031026F"/>
    <w:sectPr w:rsidR="0031026F" w:rsidSect="005B12F1">
      <w:headerReference w:type="default" r:id="rId10"/>
      <w:footerReference w:type="default" r:id="rId11"/>
      <w:pgSz w:w="12240" w:h="15840"/>
      <w:pgMar w:top="1440" w:right="1440" w:bottom="144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E638" w14:textId="77777777" w:rsidR="00D40A24" w:rsidRDefault="00D40A24" w:rsidP="00C514F8">
      <w:pPr>
        <w:spacing w:after="0" w:line="240" w:lineRule="auto"/>
      </w:pPr>
      <w:r>
        <w:separator/>
      </w:r>
    </w:p>
  </w:endnote>
  <w:endnote w:type="continuationSeparator" w:id="0">
    <w:p w14:paraId="3AF80662" w14:textId="77777777" w:rsidR="00D40A24" w:rsidRDefault="00D40A24" w:rsidP="00C5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31C1" w14:textId="25E04D4B" w:rsidR="00000000" w:rsidRDefault="00C426C4">
    <w:pPr>
      <w:pStyle w:val="Footer"/>
    </w:pPr>
    <w:r>
      <w:t>August</w:t>
    </w:r>
    <w:r w:rsidR="00C514F8">
      <w:t xml:space="preserve"> 2021</w:t>
    </w:r>
  </w:p>
  <w:p w14:paraId="3954C0B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D10D" w14:textId="77777777" w:rsidR="00D40A24" w:rsidRDefault="00D40A24" w:rsidP="00C514F8">
      <w:pPr>
        <w:spacing w:after="0" w:line="240" w:lineRule="auto"/>
      </w:pPr>
      <w:r>
        <w:separator/>
      </w:r>
    </w:p>
  </w:footnote>
  <w:footnote w:type="continuationSeparator" w:id="0">
    <w:p w14:paraId="0BB00CF7" w14:textId="77777777" w:rsidR="00D40A24" w:rsidRDefault="00D40A24" w:rsidP="00C51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9BD9" w14:textId="6B5B6DCC" w:rsidR="00000000" w:rsidRDefault="00C514F8" w:rsidP="003265E8">
    <w:pPr>
      <w:pStyle w:val="Header"/>
      <w:jc w:val="right"/>
    </w:pPr>
    <w:r>
      <w:t xml:space="preserve">Common Good Asset Register for the former Burgh of Kingussie     </w:t>
    </w:r>
    <w:r>
      <w:rPr>
        <w:noProof/>
        <w:lang w:eastAsia="en-GB"/>
      </w:rPr>
      <w:drawing>
        <wp:inline distT="0" distB="0" distL="0" distR="0" wp14:anchorId="63DA8D63" wp14:editId="7DD21718">
          <wp:extent cx="1200150" cy="605818"/>
          <wp:effectExtent l="0" t="0" r="0" b="381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206203" cy="608873"/>
                  </a:xfrm>
                  <a:prstGeom prst="rect">
                    <a:avLst/>
                  </a:prstGeom>
                </pic:spPr>
              </pic:pic>
            </a:graphicData>
          </a:graphic>
        </wp:inline>
      </w:drawing>
    </w:r>
  </w:p>
  <w:p w14:paraId="1D52A22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23691"/>
    <w:multiLevelType w:val="hybridMultilevel"/>
    <w:tmpl w:val="5E62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10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E7"/>
    <w:rsid w:val="0010710E"/>
    <w:rsid w:val="0031026F"/>
    <w:rsid w:val="00351939"/>
    <w:rsid w:val="003951E7"/>
    <w:rsid w:val="004F6E1A"/>
    <w:rsid w:val="0093720C"/>
    <w:rsid w:val="009C5901"/>
    <w:rsid w:val="00AF0E4B"/>
    <w:rsid w:val="00C426C4"/>
    <w:rsid w:val="00C514F8"/>
    <w:rsid w:val="00D40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795C"/>
  <w15:chartTrackingRefBased/>
  <w15:docId w15:val="{8A71E0A4-80D6-4378-9438-C43ED7C1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951E7"/>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951E7"/>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3951E7"/>
    <w:rPr>
      <w:lang w:val="en-US"/>
    </w:rPr>
  </w:style>
  <w:style w:type="paragraph" w:styleId="Footer">
    <w:name w:val="footer"/>
    <w:basedOn w:val="Normal"/>
    <w:link w:val="FooterChar"/>
    <w:uiPriority w:val="99"/>
    <w:unhideWhenUsed/>
    <w:rsid w:val="003951E7"/>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3951E7"/>
    <w:rPr>
      <w:lang w:val="en-US"/>
    </w:rPr>
  </w:style>
  <w:style w:type="table" w:styleId="TableGrid">
    <w:name w:val="Table Grid"/>
    <w:basedOn w:val="TableNormal"/>
    <w:uiPriority w:val="39"/>
    <w:rsid w:val="0039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EEAD9-A0B7-4728-A319-14F71BAFC59F}">
  <ds:schemaRefs>
    <ds:schemaRef ds:uri="http://schemas.microsoft.com/sharepoint/v3/contenttype/forms"/>
  </ds:schemaRefs>
</ds:datastoreItem>
</file>

<file path=customXml/itemProps2.xml><?xml version="1.0" encoding="utf-8"?>
<ds:datastoreItem xmlns:ds="http://schemas.openxmlformats.org/officeDocument/2006/customXml" ds:itemID="{6FC240D2-6DE4-4D81-B05D-4498D54F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7E8C1-1540-4760-9AD8-528DB4E1C0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Finance)</dc:creator>
  <cp:keywords/>
  <dc:description/>
  <cp:lastModifiedBy>Ronan Hutchison (Improvement and Performance)</cp:lastModifiedBy>
  <cp:revision>4</cp:revision>
  <dcterms:created xsi:type="dcterms:W3CDTF">2021-06-29T11:35:00Z</dcterms:created>
  <dcterms:modified xsi:type="dcterms:W3CDTF">2025-11-11T14:50:00Z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