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828A" w14:textId="77777777" w:rsidR="00D3516D" w:rsidRDefault="00D3516D" w:rsidP="002D19B4">
      <w:pPr>
        <w:tabs>
          <w:tab w:val="center" w:pos="4513"/>
          <w:tab w:val="right" w:pos="9026"/>
        </w:tabs>
        <w:spacing w:after="0" w:line="240" w:lineRule="auto"/>
        <w:jc w:val="center"/>
        <w:rPr>
          <w:rFonts w:ascii="Calibri" w:eastAsia="Times New Roman" w:hAnsi="Calibri" w:cs="Times New Roman"/>
          <w:b/>
          <w:bCs/>
          <w:sz w:val="24"/>
          <w:szCs w:val="32"/>
          <w:u w:val="single"/>
          <w:lang w:val="en-US"/>
        </w:rPr>
      </w:pPr>
    </w:p>
    <w:p w14:paraId="33915F34" w14:textId="77777777" w:rsidR="00D3516D" w:rsidRDefault="00D3516D" w:rsidP="002D19B4">
      <w:pPr>
        <w:tabs>
          <w:tab w:val="center" w:pos="4513"/>
          <w:tab w:val="right" w:pos="9026"/>
        </w:tabs>
        <w:spacing w:after="0" w:line="240" w:lineRule="auto"/>
        <w:jc w:val="center"/>
        <w:rPr>
          <w:rFonts w:ascii="Calibri" w:eastAsia="Times New Roman" w:hAnsi="Calibri" w:cs="Times New Roman"/>
          <w:b/>
          <w:bCs/>
          <w:sz w:val="24"/>
          <w:szCs w:val="32"/>
          <w:u w:val="single"/>
          <w:lang w:val="en-US"/>
        </w:rPr>
      </w:pPr>
    </w:p>
    <w:p w14:paraId="50B480DB" w14:textId="1B6CAF64" w:rsidR="002D19B4" w:rsidRPr="002D19B4" w:rsidRDefault="002D19B4" w:rsidP="002D19B4">
      <w:pPr>
        <w:tabs>
          <w:tab w:val="center" w:pos="4513"/>
          <w:tab w:val="right" w:pos="9026"/>
        </w:tabs>
        <w:spacing w:after="0" w:line="240" w:lineRule="auto"/>
        <w:jc w:val="center"/>
        <w:rPr>
          <w:rFonts w:ascii="Calibri" w:eastAsia="Calibri" w:hAnsi="Calibri" w:cs="Calibri"/>
          <w:b/>
          <w:bCs/>
          <w:u w:val="single"/>
        </w:rPr>
      </w:pPr>
      <w:r w:rsidRPr="002D19B4">
        <w:rPr>
          <w:rFonts w:ascii="Calibri" w:eastAsia="Times New Roman" w:hAnsi="Calibri" w:cs="Times New Roman"/>
          <w:b/>
          <w:bCs/>
          <w:sz w:val="24"/>
          <w:szCs w:val="32"/>
          <w:u w:val="single"/>
          <w:lang w:val="en-US"/>
        </w:rPr>
        <w:t xml:space="preserve">COMMON GOOD FUND ASSET REGISTER </w:t>
      </w:r>
      <w:r w:rsidR="009B7D11">
        <w:rPr>
          <w:rFonts w:ascii="Calibri" w:eastAsia="Times New Roman" w:hAnsi="Calibri" w:cs="Times New Roman"/>
          <w:b/>
          <w:bCs/>
          <w:sz w:val="24"/>
          <w:szCs w:val="32"/>
          <w:u w:val="single"/>
          <w:lang w:val="en-US"/>
        </w:rPr>
        <w:t>FOR</w:t>
      </w:r>
      <w:r w:rsidRPr="002D19B4">
        <w:rPr>
          <w:rFonts w:ascii="Calibri" w:eastAsia="Times New Roman" w:hAnsi="Calibri" w:cs="Times New Roman"/>
          <w:b/>
          <w:bCs/>
          <w:sz w:val="24"/>
          <w:szCs w:val="32"/>
          <w:u w:val="single"/>
          <w:lang w:val="en-US"/>
        </w:rPr>
        <w:t xml:space="preserve"> THE </w:t>
      </w:r>
      <w:r w:rsidRPr="002D19B4">
        <w:rPr>
          <w:rFonts w:ascii="Calibri" w:eastAsia="Calibri" w:hAnsi="Calibri" w:cs="Calibri"/>
          <w:b/>
          <w:bCs/>
          <w:sz w:val="24"/>
          <w:szCs w:val="24"/>
          <w:u w:val="single"/>
        </w:rPr>
        <w:t>FORMER BURGH OF THURSO</w:t>
      </w:r>
    </w:p>
    <w:p w14:paraId="37C03C68" w14:textId="77777777" w:rsidR="002D19B4" w:rsidRPr="002D19B4" w:rsidRDefault="002D19B4" w:rsidP="002D19B4">
      <w:pPr>
        <w:tabs>
          <w:tab w:val="center" w:pos="4513"/>
          <w:tab w:val="right" w:pos="9026"/>
        </w:tabs>
        <w:spacing w:after="0" w:line="240" w:lineRule="auto"/>
        <w:jc w:val="center"/>
        <w:rPr>
          <w:rFonts w:ascii="Calibri" w:eastAsia="Calibri" w:hAnsi="Calibri" w:cs="Times New Roman"/>
          <w:b/>
          <w:bCs/>
          <w:u w:val="single"/>
          <w:lang w:val="en-US"/>
        </w:rPr>
      </w:pPr>
    </w:p>
    <w:tbl>
      <w:tblPr>
        <w:tblStyle w:val="TableGrid1"/>
        <w:tblW w:w="10207" w:type="dxa"/>
        <w:tblInd w:w="-147" w:type="dxa"/>
        <w:tblLayout w:type="fixed"/>
        <w:tblLook w:val="06A0" w:firstRow="1" w:lastRow="0" w:firstColumn="1" w:lastColumn="0" w:noHBand="1" w:noVBand="1"/>
      </w:tblPr>
      <w:tblGrid>
        <w:gridCol w:w="10207"/>
      </w:tblGrid>
      <w:tr w:rsidR="002D19B4" w:rsidRPr="002D19B4" w14:paraId="234AD324" w14:textId="77777777" w:rsidTr="00CA7700">
        <w:tc>
          <w:tcPr>
            <w:tcW w:w="10207" w:type="dxa"/>
          </w:tcPr>
          <w:p w14:paraId="64DA3C5E" w14:textId="77777777" w:rsidR="002D19B4" w:rsidRPr="002D19B4" w:rsidRDefault="002D19B4" w:rsidP="002D19B4">
            <w:pPr>
              <w:jc w:val="center"/>
              <w:rPr>
                <w:rFonts w:ascii="Calibri" w:eastAsia="Calibri" w:hAnsi="Calibri" w:cs="Calibri"/>
                <w:b/>
                <w:bCs/>
              </w:rPr>
            </w:pPr>
            <w:r w:rsidRPr="002D19B4">
              <w:rPr>
                <w:rFonts w:ascii="Calibri" w:eastAsia="Calibri" w:hAnsi="Calibri" w:cs="Calibri"/>
                <w:b/>
                <w:bCs/>
              </w:rPr>
              <w:t>LAND AND BUILDINGS</w:t>
            </w:r>
          </w:p>
        </w:tc>
      </w:tr>
      <w:tr w:rsidR="002D19B4" w:rsidRPr="002D19B4" w14:paraId="32245E33" w14:textId="77777777" w:rsidTr="00CA7700">
        <w:tc>
          <w:tcPr>
            <w:tcW w:w="10207" w:type="dxa"/>
          </w:tcPr>
          <w:p w14:paraId="0892E2A0" w14:textId="77777777" w:rsidR="002D19B4" w:rsidRPr="002D19B4" w:rsidRDefault="002D19B4" w:rsidP="002D19B4">
            <w:pPr>
              <w:rPr>
                <w:rFonts w:ascii="Calibri" w:eastAsia="Calibri" w:hAnsi="Calibri" w:cs="Calibri"/>
              </w:rPr>
            </w:pPr>
            <w:r w:rsidRPr="002D19B4">
              <w:rPr>
                <w:rFonts w:ascii="Calibri" w:eastAsia="Calibri" w:hAnsi="Calibri" w:cs="Calibri"/>
              </w:rPr>
              <w:t xml:space="preserve">Thurso was established as a Burgh of Barony on 27 July 1633. </w:t>
            </w:r>
          </w:p>
          <w:p w14:paraId="060CBFBD" w14:textId="77777777" w:rsidR="002D19B4" w:rsidRPr="002D19B4" w:rsidRDefault="002D19B4" w:rsidP="002D19B4">
            <w:pPr>
              <w:rPr>
                <w:rFonts w:ascii="Calibri" w:eastAsia="Calibri" w:hAnsi="Calibri" w:cs="Calibri"/>
              </w:rPr>
            </w:pPr>
          </w:p>
        </w:tc>
      </w:tr>
    </w:tbl>
    <w:p w14:paraId="4A3B02EF" w14:textId="77777777" w:rsidR="00797FF6" w:rsidRDefault="00797FF6"/>
    <w:tbl>
      <w:tblPr>
        <w:tblStyle w:val="TableGrid1"/>
        <w:tblW w:w="10207" w:type="dxa"/>
        <w:tblInd w:w="-147" w:type="dxa"/>
        <w:tblLayout w:type="fixed"/>
        <w:tblLook w:val="06A0" w:firstRow="1" w:lastRow="0" w:firstColumn="1" w:lastColumn="0" w:noHBand="1" w:noVBand="1"/>
      </w:tblPr>
      <w:tblGrid>
        <w:gridCol w:w="3119"/>
        <w:gridCol w:w="3402"/>
        <w:gridCol w:w="3686"/>
      </w:tblGrid>
      <w:tr w:rsidR="002D19B4" w:rsidRPr="002D19B4" w14:paraId="6C806565" w14:textId="77777777" w:rsidTr="00CA7700">
        <w:tc>
          <w:tcPr>
            <w:tcW w:w="3119" w:type="dxa"/>
          </w:tcPr>
          <w:p w14:paraId="383E8845" w14:textId="77777777" w:rsidR="002D19B4" w:rsidRPr="002D19B4" w:rsidRDefault="002D19B4" w:rsidP="002D19B4">
            <w:pPr>
              <w:jc w:val="center"/>
              <w:rPr>
                <w:rFonts w:ascii="Calibri" w:eastAsia="Calibri" w:hAnsi="Calibri" w:cs="Calibri"/>
                <w:b/>
                <w:bCs/>
                <w:u w:val="single"/>
              </w:rPr>
            </w:pPr>
            <w:r w:rsidRPr="002D19B4">
              <w:rPr>
                <w:rFonts w:ascii="Calibri" w:eastAsia="Calibri" w:hAnsi="Calibri" w:cs="Calibri"/>
                <w:b/>
                <w:bCs/>
              </w:rPr>
              <w:t>Name of asset</w:t>
            </w:r>
          </w:p>
        </w:tc>
        <w:tc>
          <w:tcPr>
            <w:tcW w:w="3402" w:type="dxa"/>
          </w:tcPr>
          <w:p w14:paraId="51FE8C51" w14:textId="77777777" w:rsidR="002D19B4" w:rsidRPr="002D19B4" w:rsidRDefault="002D19B4" w:rsidP="002D19B4">
            <w:pPr>
              <w:jc w:val="center"/>
              <w:rPr>
                <w:rFonts w:ascii="Calibri" w:eastAsia="Calibri" w:hAnsi="Calibri" w:cs="Calibri"/>
                <w:b/>
                <w:bCs/>
              </w:rPr>
            </w:pPr>
            <w:r w:rsidRPr="002D19B4">
              <w:rPr>
                <w:rFonts w:ascii="Calibri" w:eastAsia="Calibri" w:hAnsi="Calibri" w:cs="Calibri"/>
                <w:b/>
                <w:bCs/>
              </w:rPr>
              <w:t>Location</w:t>
            </w:r>
          </w:p>
        </w:tc>
        <w:tc>
          <w:tcPr>
            <w:tcW w:w="3686" w:type="dxa"/>
          </w:tcPr>
          <w:p w14:paraId="2D59E3AE" w14:textId="77777777" w:rsidR="002D19B4" w:rsidRPr="002D19B4" w:rsidRDefault="002D19B4" w:rsidP="002D19B4">
            <w:pPr>
              <w:jc w:val="center"/>
              <w:rPr>
                <w:rFonts w:ascii="Calibri" w:eastAsia="Calibri" w:hAnsi="Calibri" w:cs="Calibri"/>
                <w:b/>
                <w:bCs/>
                <w:u w:val="single"/>
              </w:rPr>
            </w:pPr>
            <w:r w:rsidRPr="002D19B4">
              <w:rPr>
                <w:rFonts w:ascii="Calibri" w:eastAsia="Calibri" w:hAnsi="Calibri" w:cs="Calibri"/>
                <w:b/>
                <w:bCs/>
              </w:rPr>
              <w:t>Description</w:t>
            </w:r>
          </w:p>
        </w:tc>
      </w:tr>
      <w:tr w:rsidR="002D19B4" w:rsidRPr="002D19B4" w14:paraId="539F7E85" w14:textId="77777777" w:rsidTr="00CA7700">
        <w:tc>
          <w:tcPr>
            <w:tcW w:w="3119" w:type="dxa"/>
          </w:tcPr>
          <w:p w14:paraId="14BED612" w14:textId="77777777" w:rsidR="002D19B4" w:rsidRPr="002D19B4" w:rsidRDefault="002D19B4" w:rsidP="002D19B4">
            <w:pPr>
              <w:rPr>
                <w:rFonts w:ascii="Calibri" w:eastAsia="Calibri" w:hAnsi="Calibri" w:cs="Calibri"/>
                <w:bCs/>
                <w:sz w:val="20"/>
                <w:szCs w:val="20"/>
              </w:rPr>
            </w:pPr>
            <w:r w:rsidRPr="002D19B4">
              <w:rPr>
                <w:rFonts w:ascii="Calibri" w:eastAsia="Calibri" w:hAnsi="Calibri" w:cs="Calibri"/>
                <w:b/>
                <w:sz w:val="20"/>
                <w:szCs w:val="20"/>
              </w:rPr>
              <w:t xml:space="preserve">Sir John’s Square (formerly MacDonald Square) </w:t>
            </w:r>
            <w:r w:rsidRPr="002D19B4">
              <w:rPr>
                <w:rFonts w:ascii="Calibri" w:eastAsia="Calibri" w:hAnsi="Calibri" w:cs="Calibri"/>
                <w:bCs/>
                <w:sz w:val="20"/>
                <w:szCs w:val="20"/>
              </w:rPr>
              <w:t xml:space="preserve">including statue of Sir John Sinclair, and war memorial. </w:t>
            </w:r>
          </w:p>
          <w:p w14:paraId="7827261C" w14:textId="77777777" w:rsidR="002D19B4" w:rsidRPr="002D19B4" w:rsidRDefault="002D19B4" w:rsidP="002D19B4">
            <w:pPr>
              <w:rPr>
                <w:rFonts w:ascii="Calibri" w:eastAsia="Calibri" w:hAnsi="Calibri" w:cs="Calibri"/>
                <w:bCs/>
                <w:color w:val="000000" w:themeColor="text1"/>
                <w:sz w:val="20"/>
                <w:szCs w:val="20"/>
              </w:rPr>
            </w:pPr>
            <w:r w:rsidRPr="002D19B4">
              <w:rPr>
                <w:rFonts w:ascii="Calibri" w:eastAsia="Calibri" w:hAnsi="Calibri" w:cs="Calibri"/>
                <w:bCs/>
                <w:color w:val="000000" w:themeColor="text1"/>
                <w:sz w:val="20"/>
                <w:szCs w:val="20"/>
              </w:rPr>
              <w:t>The war memorial is located within the Common Good footprint of the Square.</w:t>
            </w:r>
          </w:p>
        </w:tc>
        <w:tc>
          <w:tcPr>
            <w:tcW w:w="3402" w:type="dxa"/>
          </w:tcPr>
          <w:p w14:paraId="10EDFB82"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Sir John’s Square, KW14 7AN</w:t>
            </w:r>
          </w:p>
          <w:p w14:paraId="14D65D1B"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CAGUPRN: 130113086</w:t>
            </w:r>
          </w:p>
          <w:p w14:paraId="7EBE9518"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Amenity gardens bordered by roads named Sir John’s Square, Princes Street and A9.</w:t>
            </w:r>
          </w:p>
        </w:tc>
        <w:tc>
          <w:tcPr>
            <w:tcW w:w="3686" w:type="dxa"/>
          </w:tcPr>
          <w:p w14:paraId="706AB413"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Total site area: 926.5m².</w:t>
            </w:r>
          </w:p>
          <w:p w14:paraId="488B2E92"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Title deed: Feu Charter by Sir John George Tollemache Sinclair of Ulbster to the Baillies and Councillors of the Burgh of Thurso dated 16 October 1879 but not recorded until 28 December 1977.</w:t>
            </w:r>
          </w:p>
          <w:p w14:paraId="1E865FA6" w14:textId="77777777" w:rsidR="002D19B4" w:rsidRPr="002D19B4" w:rsidRDefault="002D19B4" w:rsidP="002D19B4">
            <w:pPr>
              <w:rPr>
                <w:rFonts w:ascii="Calibri" w:eastAsia="Calibri" w:hAnsi="Calibri" w:cs="Calibri"/>
                <w:bCs/>
                <w:sz w:val="20"/>
                <w:szCs w:val="20"/>
              </w:rPr>
            </w:pPr>
            <w:r w:rsidRPr="002D19B4">
              <w:rPr>
                <w:rFonts w:ascii="Calibri" w:eastAsia="Calibri" w:hAnsi="Calibri" w:cs="Calibri"/>
                <w:sz w:val="20"/>
                <w:szCs w:val="20"/>
              </w:rPr>
              <w:t>Feu Charter specifies that the Square is not to be built on and is to be maintained as a garden “forever for behoof of the Community”.</w:t>
            </w:r>
            <w:r w:rsidRPr="002D19B4">
              <w:rPr>
                <w:rFonts w:ascii="Calibri" w:eastAsia="Calibri" w:hAnsi="Calibri" w:cs="Calibri"/>
                <w:bCs/>
                <w:sz w:val="20"/>
                <w:szCs w:val="20"/>
              </w:rPr>
              <w:t xml:space="preserve"> </w:t>
            </w:r>
          </w:p>
          <w:p w14:paraId="24101728"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bCs/>
                <w:sz w:val="20"/>
                <w:szCs w:val="20"/>
              </w:rPr>
              <w:t xml:space="preserve">The fountain and war memorial, although outwith the gardens, were originally constructed on land assessed as Common Good and retain that title. </w:t>
            </w:r>
          </w:p>
          <w:p w14:paraId="185527AF"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Inalienable.</w:t>
            </w:r>
          </w:p>
          <w:p w14:paraId="15E0295C" w14:textId="77777777" w:rsidR="002D19B4" w:rsidRPr="002D19B4" w:rsidRDefault="002D19B4" w:rsidP="002D19B4">
            <w:pPr>
              <w:rPr>
                <w:rFonts w:ascii="Calibri" w:eastAsia="Calibri" w:hAnsi="Calibri" w:cs="Calibri"/>
                <w:color w:val="FF0000"/>
                <w:sz w:val="20"/>
                <w:szCs w:val="20"/>
              </w:rPr>
            </w:pPr>
          </w:p>
        </w:tc>
      </w:tr>
      <w:tr w:rsidR="002D19B4" w:rsidRPr="002D19B4" w14:paraId="7C1E9484" w14:textId="77777777" w:rsidTr="00CA7700">
        <w:tc>
          <w:tcPr>
            <w:tcW w:w="3119" w:type="dxa"/>
          </w:tcPr>
          <w:p w14:paraId="28C594D3"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b/>
                <w:bCs/>
                <w:sz w:val="20"/>
                <w:szCs w:val="20"/>
              </w:rPr>
              <w:t xml:space="preserve">The Mall </w:t>
            </w:r>
            <w:r w:rsidRPr="002D19B4">
              <w:rPr>
                <w:rFonts w:ascii="Calibri" w:eastAsia="Calibri" w:hAnsi="Calibri" w:cs="Calibri"/>
                <w:sz w:val="20"/>
                <w:szCs w:val="20"/>
              </w:rPr>
              <w:t>including The Mall shelter.</w:t>
            </w:r>
          </w:p>
        </w:tc>
        <w:tc>
          <w:tcPr>
            <w:tcW w:w="3402" w:type="dxa"/>
          </w:tcPr>
          <w:p w14:paraId="3EEB3AB2"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CAGUPRN: 130112993.</w:t>
            </w:r>
          </w:p>
          <w:p w14:paraId="6137828C"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Public open space lying between Janet Street and the River of Thurso. Bordered on the northeast by the bridge of Thurso, on the northwest by Janet Street, on the southwest by the northeast boundary wall of the property known as Camfield House and on the southeast by the river.</w:t>
            </w:r>
          </w:p>
        </w:tc>
        <w:tc>
          <w:tcPr>
            <w:tcW w:w="3686" w:type="dxa"/>
          </w:tcPr>
          <w:p w14:paraId="2998246E"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Total area: 13,200m² or thereby.</w:t>
            </w:r>
          </w:p>
          <w:p w14:paraId="4CBA5532"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Title deed: Feu Charter &amp; Deed of Gift by Sir John George Tollemache Sinclair of Ulbster to the Magistrates and Commissioners of the Burgh of Thurso recorded 25 October 1897.</w:t>
            </w:r>
          </w:p>
          <w:p w14:paraId="236332B6"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The deed to the Magistrates &amp; Commissioners is on behalf of the community of the Burgh and town. The deed specifies that The Mall is to be laid out as “pleasure grounds” and shall be retained forever “for behoof of the community” and “for their recreation and amusement only”.</w:t>
            </w:r>
          </w:p>
          <w:p w14:paraId="2F9D37E6"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Inalienable</w:t>
            </w:r>
          </w:p>
          <w:p w14:paraId="3D764CD8"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(This deed also includes 2 areas of land for use as footpaths providing access to the cemetery, these have been assessed as being used for statutory purposes and not common good).</w:t>
            </w:r>
          </w:p>
          <w:p w14:paraId="7E6ECF95" w14:textId="77777777" w:rsidR="002D19B4" w:rsidRPr="002D19B4" w:rsidRDefault="002D19B4" w:rsidP="002D19B4">
            <w:pPr>
              <w:rPr>
                <w:rFonts w:ascii="Calibri" w:eastAsia="Calibri" w:hAnsi="Calibri" w:cs="Calibri"/>
                <w:sz w:val="20"/>
                <w:szCs w:val="20"/>
              </w:rPr>
            </w:pPr>
          </w:p>
        </w:tc>
      </w:tr>
      <w:tr w:rsidR="002D19B4" w:rsidRPr="002D19B4" w14:paraId="3B720ADF" w14:textId="77777777" w:rsidTr="00CA7700">
        <w:tc>
          <w:tcPr>
            <w:tcW w:w="3119" w:type="dxa"/>
          </w:tcPr>
          <w:p w14:paraId="3C3482DD" w14:textId="77777777" w:rsidR="002D19B4" w:rsidRPr="002D19B4" w:rsidRDefault="002D19B4" w:rsidP="002D19B4">
            <w:pPr>
              <w:rPr>
                <w:rFonts w:ascii="Calibri" w:eastAsia="Calibri" w:hAnsi="Calibri" w:cs="Calibri"/>
                <w:bCs/>
                <w:sz w:val="20"/>
                <w:szCs w:val="20"/>
              </w:rPr>
            </w:pPr>
            <w:r w:rsidRPr="002D19B4">
              <w:rPr>
                <w:rFonts w:ascii="Calibri" w:eastAsia="Calibri" w:hAnsi="Calibri" w:cs="Calibri"/>
                <w:b/>
                <w:sz w:val="20"/>
                <w:szCs w:val="20"/>
              </w:rPr>
              <w:lastRenderedPageBreak/>
              <w:t xml:space="preserve">The Glebe (part only) – </w:t>
            </w:r>
            <w:r w:rsidRPr="002D19B4">
              <w:rPr>
                <w:rFonts w:ascii="Calibri" w:eastAsia="Calibri" w:hAnsi="Calibri" w:cs="Calibri"/>
                <w:bCs/>
                <w:sz w:val="20"/>
                <w:szCs w:val="20"/>
              </w:rPr>
              <w:t>including caravan park, Gillock Park and Victoria Walk shelter</w:t>
            </w:r>
          </w:p>
          <w:p w14:paraId="458D3C50" w14:textId="77777777" w:rsidR="002D19B4" w:rsidRPr="002D19B4" w:rsidRDefault="002D19B4" w:rsidP="002D19B4">
            <w:pPr>
              <w:rPr>
                <w:rFonts w:ascii="Calibri" w:eastAsia="Calibri" w:hAnsi="Calibri" w:cs="Calibri"/>
                <w:bCs/>
                <w:color w:val="FF0000"/>
                <w:sz w:val="20"/>
                <w:szCs w:val="20"/>
              </w:rPr>
            </w:pPr>
          </w:p>
        </w:tc>
        <w:tc>
          <w:tcPr>
            <w:tcW w:w="3402" w:type="dxa"/>
          </w:tcPr>
          <w:p w14:paraId="564FB5B5"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CAGUPRN: 130112706 (caravan park).</w:t>
            </w:r>
          </w:p>
          <w:p w14:paraId="4AFAC921"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Smith Terrace, KW14 7JY.</w:t>
            </w:r>
          </w:p>
          <w:p w14:paraId="1202D1CE" w14:textId="77777777" w:rsidR="002D19B4" w:rsidRPr="002D19B4" w:rsidRDefault="002D19B4" w:rsidP="002D19B4">
            <w:pPr>
              <w:rPr>
                <w:rFonts w:ascii="Calibri" w:eastAsia="Calibri" w:hAnsi="Calibri" w:cs="Calibri"/>
                <w:sz w:val="20"/>
                <w:szCs w:val="20"/>
              </w:rPr>
            </w:pPr>
          </w:p>
          <w:p w14:paraId="11378502"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CAGUPRN: 130113182 (Gillock Park).</w:t>
            </w:r>
          </w:p>
          <w:p w14:paraId="19F667E9"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Olrig Street, KW14 7JA.</w:t>
            </w:r>
          </w:p>
          <w:p w14:paraId="1CFD0261" w14:textId="77777777" w:rsidR="002D19B4" w:rsidRPr="002D19B4" w:rsidRDefault="002D19B4" w:rsidP="002D19B4">
            <w:pPr>
              <w:rPr>
                <w:rFonts w:ascii="Calibri" w:eastAsia="Calibri" w:hAnsi="Calibri" w:cs="Calibri"/>
                <w:sz w:val="20"/>
                <w:szCs w:val="20"/>
              </w:rPr>
            </w:pPr>
          </w:p>
          <w:p w14:paraId="31510793"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Total area bounded on the northeast by Victoria Walk along the sea front, on the southeast by a foot path leading from Victoria Walk to Smith Terrace (A9), on the southwest by Smith Terrace (A9) and on the northwest by a footpath between the caravan park and farmland linking Smith Terrace back to Victoria Walk.</w:t>
            </w:r>
          </w:p>
          <w:p w14:paraId="0C9C5F0F" w14:textId="77777777" w:rsidR="002D19B4" w:rsidRPr="002D19B4" w:rsidRDefault="002D19B4" w:rsidP="002D19B4">
            <w:pPr>
              <w:rPr>
                <w:rFonts w:ascii="Calibri" w:eastAsia="Calibri" w:hAnsi="Calibri" w:cs="Calibri"/>
                <w:sz w:val="20"/>
                <w:szCs w:val="20"/>
              </w:rPr>
            </w:pPr>
          </w:p>
        </w:tc>
        <w:tc>
          <w:tcPr>
            <w:tcW w:w="3686" w:type="dxa"/>
          </w:tcPr>
          <w:p w14:paraId="65F76EF4" w14:textId="77777777" w:rsidR="002D19B4" w:rsidRPr="002D19B4" w:rsidRDefault="002D19B4" w:rsidP="002D19B4">
            <w:pPr>
              <w:contextualSpacing/>
              <w:rPr>
                <w:rFonts w:ascii="Calibri" w:eastAsia="Calibri" w:hAnsi="Calibri" w:cs="Calibri"/>
                <w:sz w:val="20"/>
                <w:szCs w:val="20"/>
              </w:rPr>
            </w:pPr>
            <w:r w:rsidRPr="002D19B4">
              <w:rPr>
                <w:rFonts w:ascii="Calibri" w:eastAsia="Calibri" w:hAnsi="Calibri" w:cs="Calibri"/>
                <w:sz w:val="20"/>
                <w:szCs w:val="20"/>
              </w:rPr>
              <w:t>Total area: 26,155 m² or thereby made up by:</w:t>
            </w:r>
          </w:p>
          <w:p w14:paraId="606882CC" w14:textId="77777777" w:rsidR="002D19B4" w:rsidRPr="002D19B4" w:rsidRDefault="002D19B4" w:rsidP="002D19B4">
            <w:pPr>
              <w:contextualSpacing/>
              <w:rPr>
                <w:rFonts w:ascii="Calibri" w:eastAsia="Calibri" w:hAnsi="Calibri" w:cs="Calibri"/>
                <w:sz w:val="20"/>
                <w:szCs w:val="20"/>
              </w:rPr>
            </w:pPr>
            <w:r w:rsidRPr="002D19B4">
              <w:rPr>
                <w:rFonts w:ascii="Calibri" w:eastAsia="Calibri" w:hAnsi="Calibri" w:cs="Calibri"/>
                <w:sz w:val="20"/>
                <w:szCs w:val="20"/>
              </w:rPr>
              <w:t>Caravan Park – 18,745m² or thereby</w:t>
            </w:r>
          </w:p>
          <w:p w14:paraId="246EA520" w14:textId="77777777" w:rsidR="002D19B4" w:rsidRPr="002D19B4" w:rsidRDefault="002D19B4" w:rsidP="002D19B4">
            <w:pPr>
              <w:contextualSpacing/>
              <w:rPr>
                <w:rFonts w:ascii="Calibri" w:eastAsia="Calibri" w:hAnsi="Calibri" w:cs="Calibri"/>
                <w:sz w:val="20"/>
                <w:szCs w:val="20"/>
              </w:rPr>
            </w:pPr>
            <w:r w:rsidRPr="002D19B4">
              <w:rPr>
                <w:rFonts w:ascii="Calibri" w:eastAsia="Calibri" w:hAnsi="Calibri" w:cs="Calibri"/>
                <w:sz w:val="20"/>
                <w:szCs w:val="20"/>
              </w:rPr>
              <w:t>Gillock Park &amp; shelter – 7,410m² or thereby.</w:t>
            </w:r>
          </w:p>
          <w:p w14:paraId="43C18E5F" w14:textId="77777777" w:rsidR="002D19B4" w:rsidRPr="002D19B4" w:rsidRDefault="002D19B4" w:rsidP="002D19B4">
            <w:pPr>
              <w:contextualSpacing/>
              <w:rPr>
                <w:rFonts w:ascii="Calibri" w:eastAsia="Calibri" w:hAnsi="Calibri" w:cs="Calibri"/>
                <w:b/>
                <w:bCs/>
                <w:sz w:val="20"/>
                <w:szCs w:val="20"/>
              </w:rPr>
            </w:pPr>
            <w:r w:rsidRPr="002D19B4">
              <w:rPr>
                <w:rFonts w:ascii="Calibri" w:eastAsia="Calibri" w:hAnsi="Calibri" w:cs="Calibri"/>
                <w:b/>
                <w:bCs/>
                <w:sz w:val="20"/>
                <w:szCs w:val="20"/>
              </w:rPr>
              <w:t>Title deed: Feu Charter by The Church of Scotland General Trustees in favour of The Provost, Magistrates &amp; Councillors of the Burgh of Thurso registered 15 October 1934.</w:t>
            </w:r>
          </w:p>
          <w:p w14:paraId="737FB2DE" w14:textId="77777777" w:rsidR="002D19B4" w:rsidRPr="002D19B4" w:rsidRDefault="002D19B4" w:rsidP="002D19B4">
            <w:pPr>
              <w:contextualSpacing/>
              <w:rPr>
                <w:rFonts w:ascii="Calibri" w:eastAsia="Calibri" w:hAnsi="Calibri" w:cs="Calibri"/>
                <w:color w:val="FF0000"/>
                <w:sz w:val="20"/>
                <w:szCs w:val="20"/>
              </w:rPr>
            </w:pPr>
            <w:r w:rsidRPr="002D19B4">
              <w:rPr>
                <w:rFonts w:ascii="Calibri" w:eastAsia="Calibri" w:hAnsi="Calibri" w:cs="Calibri"/>
                <w:sz w:val="20"/>
                <w:szCs w:val="20"/>
              </w:rPr>
              <w:t>Deed relates to 3 parcels of land of which 2 were conveyed for housing but the 3</w:t>
            </w:r>
            <w:r w:rsidRPr="002D19B4">
              <w:rPr>
                <w:rFonts w:ascii="Calibri" w:eastAsia="Calibri" w:hAnsi="Calibri" w:cs="Calibri"/>
                <w:sz w:val="20"/>
                <w:szCs w:val="20"/>
                <w:vertAlign w:val="superscript"/>
              </w:rPr>
              <w:t>rd</w:t>
            </w:r>
            <w:r w:rsidRPr="002D19B4">
              <w:rPr>
                <w:rFonts w:ascii="Calibri" w:eastAsia="Calibri" w:hAnsi="Calibri" w:cs="Calibri"/>
                <w:sz w:val="20"/>
                <w:szCs w:val="20"/>
              </w:rPr>
              <w:t xml:space="preserve"> (which includes the current caravan park site and Gillock Park) was conveyed for the use “as recreation ground only”. This condition was waived in 1988 to allow for use as a caravan site.</w:t>
            </w:r>
          </w:p>
          <w:p w14:paraId="04FDDF1F" w14:textId="77777777" w:rsidR="002D19B4" w:rsidRPr="002D19B4" w:rsidRDefault="002D19B4" w:rsidP="002D19B4">
            <w:pPr>
              <w:contextualSpacing/>
              <w:rPr>
                <w:rFonts w:ascii="Calibri" w:eastAsia="Calibri" w:hAnsi="Calibri" w:cs="Calibri"/>
                <w:sz w:val="20"/>
                <w:szCs w:val="20"/>
              </w:rPr>
            </w:pPr>
            <w:r w:rsidRPr="002D19B4">
              <w:rPr>
                <w:rFonts w:ascii="Calibri" w:eastAsia="Calibri" w:hAnsi="Calibri" w:cs="Calibri"/>
                <w:sz w:val="20"/>
                <w:szCs w:val="20"/>
              </w:rPr>
              <w:t>Inalienable.</w:t>
            </w:r>
          </w:p>
          <w:p w14:paraId="1A654E1A" w14:textId="77777777" w:rsidR="002D19B4" w:rsidRPr="002D19B4" w:rsidRDefault="002D19B4" w:rsidP="002D19B4">
            <w:pPr>
              <w:contextualSpacing/>
              <w:rPr>
                <w:rFonts w:ascii="Calibri" w:eastAsia="Calibri" w:hAnsi="Calibri" w:cs="Calibri"/>
                <w:sz w:val="20"/>
                <w:szCs w:val="20"/>
              </w:rPr>
            </w:pPr>
          </w:p>
        </w:tc>
      </w:tr>
      <w:tr w:rsidR="002D19B4" w:rsidRPr="002D19B4" w14:paraId="2E8A0AA6" w14:textId="77777777" w:rsidTr="00CA7700">
        <w:tc>
          <w:tcPr>
            <w:tcW w:w="3119" w:type="dxa"/>
          </w:tcPr>
          <w:p w14:paraId="2117D52B"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b/>
                <w:bCs/>
                <w:sz w:val="20"/>
                <w:szCs w:val="20"/>
              </w:rPr>
              <w:t xml:space="preserve">Sir George’s Park – </w:t>
            </w:r>
            <w:r w:rsidRPr="002D19B4">
              <w:rPr>
                <w:rFonts w:ascii="Calibri" w:eastAsia="Calibri" w:hAnsi="Calibri" w:cs="Calibri"/>
                <w:sz w:val="20"/>
                <w:szCs w:val="20"/>
              </w:rPr>
              <w:t>including Sir George’s Park Pavilion &amp; Sir George’s Park Old Pavilion</w:t>
            </w:r>
          </w:p>
          <w:p w14:paraId="2A59A964" w14:textId="77777777" w:rsidR="002D19B4" w:rsidRPr="002D19B4" w:rsidRDefault="002D19B4" w:rsidP="002D19B4">
            <w:pPr>
              <w:rPr>
                <w:rFonts w:ascii="Calibri" w:eastAsia="Calibri" w:hAnsi="Calibri" w:cs="Calibri"/>
                <w:color w:val="FF0000"/>
                <w:sz w:val="20"/>
                <w:szCs w:val="20"/>
              </w:rPr>
            </w:pPr>
          </w:p>
        </w:tc>
        <w:tc>
          <w:tcPr>
            <w:tcW w:w="3402" w:type="dxa"/>
          </w:tcPr>
          <w:p w14:paraId="4CC421D7"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Castletown Road, KW14 8HL.</w:t>
            </w:r>
          </w:p>
          <w:p w14:paraId="1B531E02"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CAGUPRN: 130113087.</w:t>
            </w:r>
          </w:p>
          <w:p w14:paraId="5EB2F197"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Bordered on the northwest by Park Lane and a footpath leading to Sir Archibald Road opposite number 5, on the east and southeast by Sir Archibald Road and Castletown Road and on the west by the rear of retail premises at Bridgend.</w:t>
            </w:r>
          </w:p>
        </w:tc>
        <w:tc>
          <w:tcPr>
            <w:tcW w:w="3686" w:type="dxa"/>
          </w:tcPr>
          <w:p w14:paraId="11EB16E8" w14:textId="77777777" w:rsidR="002D19B4" w:rsidRPr="002D19B4" w:rsidRDefault="002D19B4" w:rsidP="002D19B4">
            <w:pPr>
              <w:contextualSpacing/>
              <w:rPr>
                <w:rFonts w:ascii="Calibri" w:eastAsia="Calibri" w:hAnsi="Calibri" w:cs="Calibri"/>
                <w:sz w:val="20"/>
                <w:szCs w:val="20"/>
              </w:rPr>
            </w:pPr>
            <w:r w:rsidRPr="002D19B4">
              <w:rPr>
                <w:rFonts w:ascii="Calibri" w:eastAsia="Calibri" w:hAnsi="Calibri" w:cs="Calibri"/>
                <w:sz w:val="20"/>
                <w:szCs w:val="20"/>
              </w:rPr>
              <w:t>Area: 26,594m² or thereby.</w:t>
            </w:r>
          </w:p>
          <w:p w14:paraId="02DA8F16" w14:textId="77777777" w:rsidR="002D19B4" w:rsidRPr="002D19B4" w:rsidRDefault="002D19B4" w:rsidP="002D19B4">
            <w:pPr>
              <w:contextualSpacing/>
              <w:rPr>
                <w:rFonts w:ascii="Calibri" w:eastAsia="Calibri" w:hAnsi="Calibri" w:cs="Calibri"/>
                <w:b/>
                <w:bCs/>
                <w:sz w:val="20"/>
                <w:szCs w:val="20"/>
              </w:rPr>
            </w:pPr>
            <w:r w:rsidRPr="002D19B4">
              <w:rPr>
                <w:rFonts w:ascii="Calibri" w:eastAsia="Calibri" w:hAnsi="Calibri" w:cs="Calibri"/>
                <w:b/>
                <w:bCs/>
                <w:sz w:val="20"/>
                <w:szCs w:val="20"/>
              </w:rPr>
              <w:t>Title deeds:</w:t>
            </w:r>
          </w:p>
          <w:p w14:paraId="15AFF970" w14:textId="77777777" w:rsidR="002D19B4" w:rsidRPr="002D19B4" w:rsidRDefault="002D19B4" w:rsidP="002D19B4">
            <w:pPr>
              <w:contextualSpacing/>
              <w:rPr>
                <w:rFonts w:ascii="Calibri" w:eastAsia="Calibri" w:hAnsi="Calibri" w:cs="Calibri"/>
                <w:b/>
                <w:bCs/>
                <w:sz w:val="20"/>
                <w:szCs w:val="20"/>
              </w:rPr>
            </w:pPr>
            <w:r w:rsidRPr="002D19B4">
              <w:rPr>
                <w:rFonts w:ascii="Calibri" w:eastAsia="Calibri" w:hAnsi="Calibri" w:cs="Calibri"/>
                <w:b/>
                <w:bCs/>
                <w:sz w:val="20"/>
                <w:szCs w:val="20"/>
              </w:rPr>
              <w:t>1. Feu Charter or Deed of Gift by Sir John George Tollemache Sinclair in favour of the Magistrates and Councillors of the Burgh of Thurso recorded 30 August 1871.</w:t>
            </w:r>
          </w:p>
          <w:p w14:paraId="1B010B3E" w14:textId="77777777" w:rsidR="002D19B4" w:rsidRPr="002D19B4" w:rsidRDefault="002D19B4" w:rsidP="002D19B4">
            <w:pPr>
              <w:contextualSpacing/>
              <w:rPr>
                <w:rFonts w:ascii="Calibri" w:eastAsia="Calibri" w:hAnsi="Calibri" w:cs="Calibri"/>
                <w:b/>
                <w:bCs/>
                <w:sz w:val="20"/>
                <w:szCs w:val="20"/>
              </w:rPr>
            </w:pPr>
            <w:r w:rsidRPr="002D19B4">
              <w:rPr>
                <w:rFonts w:ascii="Calibri" w:eastAsia="Calibri" w:hAnsi="Calibri" w:cs="Calibri"/>
                <w:b/>
                <w:bCs/>
                <w:sz w:val="20"/>
                <w:szCs w:val="20"/>
              </w:rPr>
              <w:t>2. Feu Charter or Deed of Gift by Sir John George Tollemache Sinclair in favour of the Magistrates and Commissioners of Police of Thurso registered 21 July 1896.</w:t>
            </w:r>
          </w:p>
          <w:p w14:paraId="121913EE" w14:textId="77777777" w:rsidR="002D19B4" w:rsidRPr="002D19B4" w:rsidRDefault="002D19B4" w:rsidP="002D19B4">
            <w:pPr>
              <w:contextualSpacing/>
              <w:rPr>
                <w:rFonts w:ascii="Calibri" w:eastAsia="Calibri" w:hAnsi="Calibri" w:cs="Calibri"/>
                <w:sz w:val="20"/>
                <w:szCs w:val="20"/>
              </w:rPr>
            </w:pPr>
            <w:r w:rsidRPr="002D19B4">
              <w:rPr>
                <w:rFonts w:ascii="Calibri" w:eastAsia="Calibri" w:hAnsi="Calibri" w:cs="Calibri"/>
                <w:sz w:val="20"/>
                <w:szCs w:val="20"/>
              </w:rPr>
              <w:t>Both deeds note the areas of ground are to be used by the community of the Burgh and Town for “the purposes of recreation and amusement”.</w:t>
            </w:r>
          </w:p>
          <w:p w14:paraId="671E5319" w14:textId="77777777" w:rsidR="002D19B4" w:rsidRPr="002D19B4" w:rsidRDefault="002D19B4" w:rsidP="002D19B4">
            <w:pPr>
              <w:contextualSpacing/>
              <w:rPr>
                <w:rFonts w:ascii="Calibri" w:eastAsia="Calibri" w:hAnsi="Calibri" w:cs="Calibri"/>
                <w:sz w:val="20"/>
                <w:szCs w:val="20"/>
              </w:rPr>
            </w:pPr>
            <w:r w:rsidRPr="002D19B4">
              <w:rPr>
                <w:rFonts w:ascii="Calibri" w:eastAsia="Calibri" w:hAnsi="Calibri" w:cs="Calibri"/>
                <w:sz w:val="20"/>
                <w:szCs w:val="20"/>
              </w:rPr>
              <w:t>Inalienable.</w:t>
            </w:r>
          </w:p>
          <w:p w14:paraId="1166C46B" w14:textId="77777777" w:rsidR="002D19B4" w:rsidRPr="002D19B4" w:rsidRDefault="002D19B4" w:rsidP="002D19B4">
            <w:pPr>
              <w:contextualSpacing/>
              <w:rPr>
                <w:rFonts w:ascii="Calibri" w:eastAsia="Calibri" w:hAnsi="Calibri" w:cs="Calibri"/>
                <w:sz w:val="20"/>
                <w:szCs w:val="20"/>
              </w:rPr>
            </w:pPr>
          </w:p>
        </w:tc>
      </w:tr>
      <w:tr w:rsidR="002D19B4" w:rsidRPr="002D19B4" w14:paraId="7E770BA3" w14:textId="77777777" w:rsidTr="00CA7700">
        <w:tc>
          <w:tcPr>
            <w:tcW w:w="3119" w:type="dxa"/>
          </w:tcPr>
          <w:p w14:paraId="00C74A9D"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Thurso Burgh Chambers and car park</w:t>
            </w:r>
          </w:p>
        </w:tc>
        <w:tc>
          <w:tcPr>
            <w:tcW w:w="3402" w:type="dxa"/>
          </w:tcPr>
          <w:p w14:paraId="7886275F"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Rotterdam Street, KW14 8AB.</w:t>
            </w:r>
          </w:p>
          <w:p w14:paraId="4DA16C83"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CAGUPRN: 130106487.</w:t>
            </w:r>
          </w:p>
          <w:p w14:paraId="44CCAC7D"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Located between Rotterdam Street and Meadow Lane and adjacent to the northeast side of 12 Rotterdam Street.</w:t>
            </w:r>
          </w:p>
        </w:tc>
        <w:tc>
          <w:tcPr>
            <w:tcW w:w="3686" w:type="dxa"/>
          </w:tcPr>
          <w:p w14:paraId="7B021B83"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Total area as stated in title deed: 0.276 acres (1117m²).</w:t>
            </w:r>
          </w:p>
          <w:p w14:paraId="1AE66435"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Title deed: United Kingdom Atomic Energy Authority in favour of Provost, Magistrates and Councillors of the Burgh of Thurso recorded 30 August 1963.</w:t>
            </w:r>
          </w:p>
          <w:p w14:paraId="139F0339"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Burgh land not acquired for statutory purpose or held on special trust. Therefore, assessed as Common Good.</w:t>
            </w:r>
          </w:p>
          <w:p w14:paraId="564B5D80"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Inalienable.</w:t>
            </w:r>
          </w:p>
          <w:p w14:paraId="244ECF65" w14:textId="77777777" w:rsidR="002D19B4" w:rsidRPr="002D19B4" w:rsidRDefault="002D19B4" w:rsidP="002D19B4">
            <w:pPr>
              <w:rPr>
                <w:rFonts w:ascii="Calibri" w:eastAsia="Calibri" w:hAnsi="Calibri" w:cs="Calibri"/>
                <w:sz w:val="20"/>
                <w:szCs w:val="20"/>
              </w:rPr>
            </w:pPr>
          </w:p>
        </w:tc>
      </w:tr>
      <w:tr w:rsidR="002D19B4" w:rsidRPr="002D19B4" w14:paraId="6AA52FF3" w14:textId="77777777" w:rsidTr="00CA7700">
        <w:tc>
          <w:tcPr>
            <w:tcW w:w="3119" w:type="dxa"/>
          </w:tcPr>
          <w:p w14:paraId="38066407"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Amenity land at George Crescent</w:t>
            </w:r>
          </w:p>
        </w:tc>
        <w:tc>
          <w:tcPr>
            <w:tcW w:w="3402" w:type="dxa"/>
          </w:tcPr>
          <w:p w14:paraId="6838251A"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 xml:space="preserve">Semicircular amenity ground adjacent to 12 Clarence Street and 15 George </w:t>
            </w:r>
            <w:r w:rsidRPr="002D19B4">
              <w:rPr>
                <w:rFonts w:ascii="Calibri" w:eastAsia="Calibri" w:hAnsi="Calibri" w:cs="Calibri"/>
                <w:sz w:val="20"/>
                <w:szCs w:val="20"/>
              </w:rPr>
              <w:lastRenderedPageBreak/>
              <w:t>Street and following the curve of George Crescent.</w:t>
            </w:r>
          </w:p>
        </w:tc>
        <w:tc>
          <w:tcPr>
            <w:tcW w:w="3686" w:type="dxa"/>
          </w:tcPr>
          <w:p w14:paraId="4CF43800"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lastRenderedPageBreak/>
              <w:t>Total area as stated in title deed: 0.184acres (745m²).</w:t>
            </w:r>
          </w:p>
          <w:p w14:paraId="501544DF"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lastRenderedPageBreak/>
              <w:t>Title deed: Disposition by Factor &amp; Commissioner for the Right Honourable Viscount Thurso of Ulbster in favour of Provost, Magistrates &amp; Councillors of Burgh of Thurso recorded 18 April 1960.</w:t>
            </w:r>
          </w:p>
          <w:p w14:paraId="5AFFF5ED"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Burgh land not acquired for statutory purpose or held on special trust. Therefore, assessed as Common Good.</w:t>
            </w:r>
          </w:p>
          <w:p w14:paraId="288A79EA"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Inalienable due to being public amenity land since acquisition.</w:t>
            </w:r>
          </w:p>
          <w:p w14:paraId="6373C04D" w14:textId="77777777" w:rsidR="002D19B4" w:rsidRPr="002D19B4" w:rsidRDefault="002D19B4" w:rsidP="002D19B4">
            <w:pPr>
              <w:rPr>
                <w:rFonts w:ascii="Calibri" w:eastAsia="Calibri" w:hAnsi="Calibri" w:cs="Calibri"/>
                <w:sz w:val="20"/>
                <w:szCs w:val="20"/>
              </w:rPr>
            </w:pPr>
          </w:p>
        </w:tc>
      </w:tr>
      <w:tr w:rsidR="002D19B4" w:rsidRPr="002D19B4" w14:paraId="4BAFAF15" w14:textId="77777777" w:rsidTr="00CA7700">
        <w:tc>
          <w:tcPr>
            <w:tcW w:w="3119" w:type="dxa"/>
          </w:tcPr>
          <w:p w14:paraId="5E2D5F48"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lastRenderedPageBreak/>
              <w:t>Thurso Town Hall</w:t>
            </w:r>
          </w:p>
        </w:tc>
        <w:tc>
          <w:tcPr>
            <w:tcW w:w="3402" w:type="dxa"/>
          </w:tcPr>
          <w:p w14:paraId="0DAD3D7A"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High Street, KW14 8AJ</w:t>
            </w:r>
          </w:p>
          <w:p w14:paraId="4A1C2F83"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CAGUPRN: 130112668</w:t>
            </w:r>
          </w:p>
          <w:p w14:paraId="3657854A"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Located between the former Carnegie library building (which is not Common Good) and the retail unit at 27-29 High Street.</w:t>
            </w:r>
          </w:p>
        </w:tc>
        <w:tc>
          <w:tcPr>
            <w:tcW w:w="3686" w:type="dxa"/>
          </w:tcPr>
          <w:p w14:paraId="56A13369"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Area: 625m²or thereby.</w:t>
            </w:r>
          </w:p>
          <w:p w14:paraId="013E2096"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Title deed: Disposition by William Durran &amp; others, Trustees of Town Hall Buildings, Thurso in favour of Provost, Magistrates &amp; Councillors of the Burgh of Thurso registered 16 July 1904.</w:t>
            </w:r>
          </w:p>
          <w:p w14:paraId="4774BB03"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The Town Hall site was originally held on trust for the benefit of the inhabitants of the Burgh of Thurso. However, this prevented the vesting of the site in the Town Council and fettered due administration. A Petition was submitted to Court and the above referenced disposition was approved and the trust closed.</w:t>
            </w:r>
          </w:p>
          <w:p w14:paraId="6437357C"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Building currently forms part of the NC500 Visitor Centre.</w:t>
            </w:r>
          </w:p>
          <w:p w14:paraId="350BC1B8"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Inalienable.</w:t>
            </w:r>
          </w:p>
          <w:p w14:paraId="1F138A5C" w14:textId="77777777" w:rsidR="002D19B4" w:rsidRPr="002D19B4" w:rsidRDefault="002D19B4" w:rsidP="002D19B4">
            <w:pPr>
              <w:rPr>
                <w:rFonts w:ascii="Calibri" w:eastAsia="Calibri" w:hAnsi="Calibri" w:cs="Calibri"/>
                <w:sz w:val="20"/>
                <w:szCs w:val="20"/>
              </w:rPr>
            </w:pPr>
          </w:p>
        </w:tc>
      </w:tr>
      <w:tr w:rsidR="002D19B4" w:rsidRPr="002D19B4" w14:paraId="738360D5" w14:textId="77777777" w:rsidTr="00CA7700">
        <w:tc>
          <w:tcPr>
            <w:tcW w:w="3119" w:type="dxa"/>
          </w:tcPr>
          <w:p w14:paraId="2DDC934B"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Thurso Golf Club</w:t>
            </w:r>
          </w:p>
        </w:tc>
        <w:tc>
          <w:tcPr>
            <w:tcW w:w="3402" w:type="dxa"/>
          </w:tcPr>
          <w:p w14:paraId="020B75D9"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Newlands of Geise, KW14 7XF.</w:t>
            </w:r>
          </w:p>
          <w:p w14:paraId="0CB4B1E5"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CAGUPRN: 130072931.</w:t>
            </w:r>
          </w:p>
          <w:p w14:paraId="0B194A2E"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Located in Newlands of Geise area to the west of Ormlie Road and the northeast of the road leading to Janetstown Industrial Estate.</w:t>
            </w:r>
          </w:p>
        </w:tc>
        <w:tc>
          <w:tcPr>
            <w:tcW w:w="3686" w:type="dxa"/>
          </w:tcPr>
          <w:p w14:paraId="643F82B8"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Total area: 56.571 hectares or thereby.</w:t>
            </w:r>
          </w:p>
          <w:p w14:paraId="7386AA61"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Title deeds:</w:t>
            </w:r>
          </w:p>
          <w:p w14:paraId="104346E0"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1. Disposition by Robert Dawson Sutherland &amp; David Murdoch Sutherland in favour of Provost, Magistrates &amp; Councillors of the Burgh of Thurso registered 13 July 1914.</w:t>
            </w:r>
          </w:p>
          <w:p w14:paraId="0002A7C4"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2. Disposition of Sinclair Family Trust Ltd in favour of Provost, Magistrates &amp; Councillors of the Burgh of Thurso recorded 6 November 1974.</w:t>
            </w:r>
          </w:p>
          <w:p w14:paraId="00EABA03"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Both deeds are simple dispositions to the Burgh – the subjects were not acquired for statutory purposes nor held on special trust. Therefore, the property is assessed as Common Good.</w:t>
            </w:r>
          </w:p>
          <w:p w14:paraId="47EEB439"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The property is also considered to be inalienable due to the public and recreational nature if its use. It is subject to a lease.</w:t>
            </w:r>
          </w:p>
          <w:p w14:paraId="2B84B9AF"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lastRenderedPageBreak/>
              <w:t>(There is an area of 0.78 hectares adjacent to the Thurso/Shebster Road which, as former County Council land, is not considered Common Good.)</w:t>
            </w:r>
          </w:p>
          <w:p w14:paraId="1DD445B8" w14:textId="77777777" w:rsidR="002D19B4" w:rsidRPr="002D19B4" w:rsidRDefault="002D19B4" w:rsidP="002D19B4">
            <w:pPr>
              <w:rPr>
                <w:rFonts w:ascii="Calibri" w:eastAsia="Calibri" w:hAnsi="Calibri" w:cs="Calibri"/>
                <w:sz w:val="20"/>
                <w:szCs w:val="20"/>
              </w:rPr>
            </w:pPr>
          </w:p>
        </w:tc>
      </w:tr>
      <w:tr w:rsidR="002D19B4" w:rsidRPr="002D19B4" w14:paraId="4201D865" w14:textId="77777777" w:rsidTr="00CA7700">
        <w:tc>
          <w:tcPr>
            <w:tcW w:w="3119" w:type="dxa"/>
          </w:tcPr>
          <w:p w14:paraId="1226C60A" w14:textId="77777777" w:rsidR="002D19B4" w:rsidRPr="002D19B4" w:rsidRDefault="002D19B4" w:rsidP="002D19B4">
            <w:pPr>
              <w:rPr>
                <w:rFonts w:ascii="Calibri" w:eastAsia="Calibri" w:hAnsi="Calibri" w:cs="Calibri"/>
                <w:b/>
                <w:bCs/>
                <w:sz w:val="20"/>
                <w:szCs w:val="20"/>
              </w:rPr>
            </w:pPr>
          </w:p>
        </w:tc>
        <w:tc>
          <w:tcPr>
            <w:tcW w:w="3402" w:type="dxa"/>
          </w:tcPr>
          <w:p w14:paraId="74882E71" w14:textId="77777777" w:rsidR="002D19B4" w:rsidRPr="002D19B4" w:rsidRDefault="002D19B4" w:rsidP="002D19B4">
            <w:pPr>
              <w:rPr>
                <w:rFonts w:ascii="Calibri" w:eastAsia="Calibri" w:hAnsi="Calibri" w:cs="Calibri"/>
                <w:sz w:val="20"/>
                <w:szCs w:val="20"/>
              </w:rPr>
            </w:pPr>
          </w:p>
        </w:tc>
        <w:tc>
          <w:tcPr>
            <w:tcW w:w="3686" w:type="dxa"/>
          </w:tcPr>
          <w:p w14:paraId="276AA9D3" w14:textId="77777777" w:rsidR="002D19B4" w:rsidRPr="002D19B4" w:rsidRDefault="002D19B4" w:rsidP="002D19B4">
            <w:pPr>
              <w:rPr>
                <w:rFonts w:ascii="Calibri" w:eastAsia="Calibri" w:hAnsi="Calibri" w:cs="Calibri"/>
                <w:sz w:val="20"/>
                <w:szCs w:val="20"/>
              </w:rPr>
            </w:pPr>
          </w:p>
        </w:tc>
      </w:tr>
    </w:tbl>
    <w:p w14:paraId="54EC7239" w14:textId="77777777" w:rsidR="00797FF6" w:rsidRDefault="00797FF6"/>
    <w:tbl>
      <w:tblPr>
        <w:tblStyle w:val="TableGrid1"/>
        <w:tblW w:w="10207" w:type="dxa"/>
        <w:tblInd w:w="-147" w:type="dxa"/>
        <w:tblLayout w:type="fixed"/>
        <w:tblLook w:val="06A0" w:firstRow="1" w:lastRow="0" w:firstColumn="1" w:lastColumn="0" w:noHBand="1" w:noVBand="1"/>
      </w:tblPr>
      <w:tblGrid>
        <w:gridCol w:w="10207"/>
      </w:tblGrid>
      <w:tr w:rsidR="002D19B4" w:rsidRPr="002D19B4" w14:paraId="761F5A3C" w14:textId="77777777" w:rsidTr="00CA7700">
        <w:tc>
          <w:tcPr>
            <w:tcW w:w="10207" w:type="dxa"/>
          </w:tcPr>
          <w:p w14:paraId="5BD7853D" w14:textId="77777777" w:rsidR="002D19B4" w:rsidRPr="002D19B4" w:rsidRDefault="002D19B4" w:rsidP="002D19B4">
            <w:pPr>
              <w:jc w:val="center"/>
              <w:rPr>
                <w:rFonts w:ascii="Calibri" w:eastAsia="Calibri" w:hAnsi="Calibri" w:cs="Calibri"/>
                <w:b/>
              </w:rPr>
            </w:pPr>
            <w:r w:rsidRPr="002D19B4">
              <w:rPr>
                <w:rFonts w:ascii="Calibri" w:eastAsia="Calibri" w:hAnsi="Calibri" w:cs="Calibri"/>
                <w:b/>
              </w:rPr>
              <w:t>ART AND ARTIFACTS</w:t>
            </w:r>
          </w:p>
        </w:tc>
      </w:tr>
    </w:tbl>
    <w:p w14:paraId="0DE6E806" w14:textId="77777777" w:rsidR="00797FF6" w:rsidRDefault="00797FF6"/>
    <w:tbl>
      <w:tblPr>
        <w:tblStyle w:val="TableGrid1"/>
        <w:tblW w:w="10207" w:type="dxa"/>
        <w:tblInd w:w="-147" w:type="dxa"/>
        <w:tblLayout w:type="fixed"/>
        <w:tblLook w:val="06A0" w:firstRow="1" w:lastRow="0" w:firstColumn="1" w:lastColumn="0" w:noHBand="1" w:noVBand="1"/>
      </w:tblPr>
      <w:tblGrid>
        <w:gridCol w:w="3119"/>
        <w:gridCol w:w="3402"/>
        <w:gridCol w:w="3686"/>
      </w:tblGrid>
      <w:tr w:rsidR="002D19B4" w:rsidRPr="002D19B4" w14:paraId="6AEAFF0B" w14:textId="77777777" w:rsidTr="00CA7700">
        <w:tc>
          <w:tcPr>
            <w:tcW w:w="3119" w:type="dxa"/>
          </w:tcPr>
          <w:p w14:paraId="2BD5B146" w14:textId="77777777" w:rsidR="002D19B4" w:rsidRPr="002D19B4" w:rsidRDefault="002D19B4" w:rsidP="002D19B4">
            <w:pPr>
              <w:jc w:val="center"/>
              <w:rPr>
                <w:rFonts w:ascii="Calibri" w:eastAsia="Calibri" w:hAnsi="Calibri" w:cs="Calibri"/>
                <w:b/>
                <w:bCs/>
              </w:rPr>
            </w:pPr>
            <w:r w:rsidRPr="002D19B4">
              <w:rPr>
                <w:rFonts w:ascii="Calibri" w:eastAsia="Calibri" w:hAnsi="Calibri" w:cs="Calibri"/>
                <w:b/>
                <w:bCs/>
              </w:rPr>
              <w:t>Name of asset</w:t>
            </w:r>
          </w:p>
        </w:tc>
        <w:tc>
          <w:tcPr>
            <w:tcW w:w="3402" w:type="dxa"/>
          </w:tcPr>
          <w:p w14:paraId="3FFE9F79" w14:textId="77777777" w:rsidR="002D19B4" w:rsidRPr="002D19B4" w:rsidRDefault="002D19B4" w:rsidP="002D19B4">
            <w:pPr>
              <w:jc w:val="center"/>
              <w:rPr>
                <w:rFonts w:ascii="Calibri" w:eastAsia="Calibri" w:hAnsi="Calibri" w:cs="Calibri"/>
                <w:b/>
              </w:rPr>
            </w:pPr>
            <w:r w:rsidRPr="002D19B4">
              <w:rPr>
                <w:rFonts w:ascii="Calibri" w:eastAsia="Calibri" w:hAnsi="Calibri" w:cs="Calibri"/>
                <w:b/>
              </w:rPr>
              <w:t>Location</w:t>
            </w:r>
          </w:p>
        </w:tc>
        <w:tc>
          <w:tcPr>
            <w:tcW w:w="3686" w:type="dxa"/>
          </w:tcPr>
          <w:p w14:paraId="2638C504" w14:textId="77777777" w:rsidR="002D19B4" w:rsidRPr="002D19B4" w:rsidRDefault="002D19B4" w:rsidP="002D19B4">
            <w:pPr>
              <w:jc w:val="center"/>
              <w:rPr>
                <w:rFonts w:ascii="Calibri" w:eastAsia="Calibri" w:hAnsi="Calibri" w:cs="Calibri"/>
                <w:b/>
              </w:rPr>
            </w:pPr>
            <w:r w:rsidRPr="002D19B4">
              <w:rPr>
                <w:rFonts w:ascii="Calibri" w:eastAsia="Calibri" w:hAnsi="Calibri" w:cs="Calibri"/>
                <w:b/>
              </w:rPr>
              <w:t>Description</w:t>
            </w:r>
          </w:p>
        </w:tc>
      </w:tr>
      <w:tr w:rsidR="002D19B4" w:rsidRPr="002D19B4" w14:paraId="4E3A566A" w14:textId="77777777" w:rsidTr="00CA7700">
        <w:tc>
          <w:tcPr>
            <w:tcW w:w="10207" w:type="dxa"/>
            <w:gridSpan w:val="3"/>
          </w:tcPr>
          <w:p w14:paraId="54474BF8" w14:textId="77777777" w:rsidR="002D19B4" w:rsidRPr="002D19B4" w:rsidRDefault="002D19B4" w:rsidP="002D19B4">
            <w:pPr>
              <w:rPr>
                <w:rFonts w:ascii="Calibri" w:eastAsia="Calibri" w:hAnsi="Calibri" w:cs="Calibri"/>
                <w:bCs/>
                <w:sz w:val="20"/>
                <w:szCs w:val="20"/>
              </w:rPr>
            </w:pPr>
            <w:r w:rsidRPr="002D19B4">
              <w:rPr>
                <w:rFonts w:ascii="Calibri" w:eastAsia="Calibri" w:hAnsi="Calibri" w:cs="Calibri"/>
                <w:bCs/>
                <w:sz w:val="20"/>
                <w:szCs w:val="20"/>
              </w:rPr>
              <w:t>No assets have yet been identified.</w:t>
            </w:r>
          </w:p>
        </w:tc>
      </w:tr>
    </w:tbl>
    <w:p w14:paraId="6E5FF68F" w14:textId="77777777" w:rsidR="00797FF6" w:rsidRDefault="00797FF6"/>
    <w:tbl>
      <w:tblPr>
        <w:tblStyle w:val="TableGrid1"/>
        <w:tblW w:w="10207" w:type="dxa"/>
        <w:tblInd w:w="-147" w:type="dxa"/>
        <w:tblLayout w:type="fixed"/>
        <w:tblLook w:val="06A0" w:firstRow="1" w:lastRow="0" w:firstColumn="1" w:lastColumn="0" w:noHBand="1" w:noVBand="1"/>
      </w:tblPr>
      <w:tblGrid>
        <w:gridCol w:w="10207"/>
      </w:tblGrid>
      <w:tr w:rsidR="002D19B4" w:rsidRPr="002D19B4" w14:paraId="5FD21919" w14:textId="77777777" w:rsidTr="00CA7700">
        <w:tc>
          <w:tcPr>
            <w:tcW w:w="10207" w:type="dxa"/>
          </w:tcPr>
          <w:p w14:paraId="2F11FADF" w14:textId="77777777" w:rsidR="002D19B4" w:rsidRPr="002D19B4" w:rsidRDefault="002D19B4" w:rsidP="002D19B4">
            <w:pPr>
              <w:jc w:val="center"/>
              <w:rPr>
                <w:rFonts w:ascii="Calibri" w:eastAsia="Calibri" w:hAnsi="Calibri" w:cs="Calibri"/>
                <w:b/>
                <w:bCs/>
                <w:sz w:val="20"/>
                <w:szCs w:val="20"/>
              </w:rPr>
            </w:pPr>
            <w:r w:rsidRPr="002D19B4">
              <w:rPr>
                <w:rFonts w:ascii="Calibri" w:eastAsia="Calibri" w:hAnsi="Calibri" w:cs="Calibri"/>
                <w:b/>
                <w:bCs/>
                <w:sz w:val="20"/>
                <w:szCs w:val="20"/>
              </w:rPr>
              <w:t>COMMON GOOD FUND</w:t>
            </w:r>
          </w:p>
        </w:tc>
      </w:tr>
      <w:tr w:rsidR="002D19B4" w:rsidRPr="002D19B4" w14:paraId="678DD8C1" w14:textId="77777777" w:rsidTr="00CA7700">
        <w:tc>
          <w:tcPr>
            <w:tcW w:w="10207" w:type="dxa"/>
          </w:tcPr>
          <w:p w14:paraId="1A19B6FD"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The Thurso Common Good Fund is in the process of being re-established therefore, as yet, there are no Annual accounts or monitoring reports available.</w:t>
            </w:r>
          </w:p>
        </w:tc>
      </w:tr>
    </w:tbl>
    <w:p w14:paraId="47C163F1" w14:textId="77777777" w:rsidR="002D19B4" w:rsidRPr="002D19B4" w:rsidRDefault="002D19B4" w:rsidP="002D19B4">
      <w:pPr>
        <w:rPr>
          <w:rFonts w:ascii="Calibri" w:eastAsia="Calibri" w:hAnsi="Calibri" w:cs="Times New Roman"/>
          <w:lang w:val="en-US"/>
        </w:rPr>
      </w:pPr>
    </w:p>
    <w:p w14:paraId="6123E9BE" w14:textId="77777777" w:rsidR="002D19B4" w:rsidRPr="002D19B4" w:rsidRDefault="002D19B4" w:rsidP="002D19B4"/>
    <w:p w14:paraId="2687E557" w14:textId="77777777" w:rsidR="00C227E7" w:rsidRDefault="00C227E7"/>
    <w:sectPr w:rsidR="00C227E7" w:rsidSect="005B12F1">
      <w:headerReference w:type="default" r:id="rId6"/>
      <w:footerReference w:type="default" r:id="rId7"/>
      <w:pgSz w:w="12240" w:h="15840"/>
      <w:pgMar w:top="1440" w:right="1440" w:bottom="144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2F6C" w14:textId="77777777" w:rsidR="003D5D6B" w:rsidRDefault="003D5D6B" w:rsidP="009B7D11">
      <w:pPr>
        <w:spacing w:after="0" w:line="240" w:lineRule="auto"/>
      </w:pPr>
      <w:r>
        <w:separator/>
      </w:r>
    </w:p>
  </w:endnote>
  <w:endnote w:type="continuationSeparator" w:id="0">
    <w:p w14:paraId="4F340677" w14:textId="77777777" w:rsidR="003D5D6B" w:rsidRDefault="003D5D6B" w:rsidP="009B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623126"/>
      <w:docPartObj>
        <w:docPartGallery w:val="Page Numbers (Bottom of Page)"/>
        <w:docPartUnique/>
      </w:docPartObj>
    </w:sdtPr>
    <w:sdtEndPr>
      <w:rPr>
        <w:noProof/>
      </w:rPr>
    </w:sdtEndPr>
    <w:sdtContent>
      <w:p w14:paraId="2692B406" w14:textId="173E7F78" w:rsidR="003B5732" w:rsidRDefault="009B7D11" w:rsidP="003B5732">
        <w:pPr>
          <w:pStyle w:val="Footer"/>
        </w:pPr>
        <w:r>
          <w:t>Highland C</w:t>
        </w:r>
        <w:r w:rsidR="003B5732">
          <w:t>ouncil</w:t>
        </w:r>
      </w:p>
      <w:p w14:paraId="37289682" w14:textId="28AD44E8" w:rsidR="009B7D11" w:rsidRDefault="009B7D11" w:rsidP="003B5732">
        <w:pPr>
          <w:pStyle w:val="Footer"/>
        </w:pPr>
        <w:r>
          <w:t xml:space="preserve">Published </w:t>
        </w:r>
        <w:r w:rsidR="003B5732">
          <w:t>September</w:t>
        </w:r>
        <w:r>
          <w:t xml:space="preserve"> 2023                                                                                                                                           </w:t>
        </w:r>
        <w:r w:rsidR="003B5732">
          <w:t xml:space="preserve">  </w:t>
        </w:r>
        <w:r>
          <w:fldChar w:fldCharType="begin"/>
        </w:r>
        <w:r>
          <w:instrText xml:space="preserve"> PAGE   \* MERGEFORMAT </w:instrText>
        </w:r>
        <w:r>
          <w:fldChar w:fldCharType="separate"/>
        </w:r>
        <w:r>
          <w:rPr>
            <w:noProof/>
          </w:rPr>
          <w:t>2</w:t>
        </w:r>
        <w:r>
          <w:rPr>
            <w:noProof/>
          </w:rPr>
          <w:fldChar w:fldCharType="end"/>
        </w:r>
      </w:p>
    </w:sdtContent>
  </w:sdt>
  <w:p w14:paraId="11E4E36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C1E8" w14:textId="77777777" w:rsidR="003D5D6B" w:rsidRDefault="003D5D6B" w:rsidP="009B7D11">
      <w:pPr>
        <w:spacing w:after="0" w:line="240" w:lineRule="auto"/>
      </w:pPr>
      <w:r>
        <w:separator/>
      </w:r>
    </w:p>
  </w:footnote>
  <w:footnote w:type="continuationSeparator" w:id="0">
    <w:p w14:paraId="55E297A6" w14:textId="77777777" w:rsidR="003D5D6B" w:rsidRDefault="003D5D6B" w:rsidP="009B7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B9BF" w14:textId="6EFA60C1" w:rsidR="009B7D11" w:rsidRDefault="009B7D11" w:rsidP="009B7D11">
    <w:pPr>
      <w:pStyle w:val="Header"/>
      <w:jc w:val="right"/>
    </w:pPr>
    <w:r>
      <w:t xml:space="preserve">Common Good Asset Register for the former Burgh of </w:t>
    </w:r>
    <w:proofErr w:type="spellStart"/>
    <w:r>
      <w:t>Thurso</w:t>
    </w:r>
    <w:proofErr w:type="spellEnd"/>
    <w:r>
      <w:t xml:space="preserve">           </w:t>
    </w:r>
    <w:r>
      <w:rPr>
        <w:noProof/>
        <w:lang w:eastAsia="en-GB"/>
      </w:rPr>
      <w:drawing>
        <wp:inline distT="0" distB="0" distL="0" distR="0" wp14:anchorId="04284AE4" wp14:editId="5BFE2C66">
          <wp:extent cx="1113296" cy="561975"/>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130234" cy="570525"/>
                  </a:xfrm>
                  <a:prstGeom prst="rect">
                    <a:avLst/>
                  </a:prstGeom>
                </pic:spPr>
              </pic:pic>
            </a:graphicData>
          </a:graphic>
        </wp:inline>
      </w:drawing>
    </w:r>
  </w:p>
  <w:p w14:paraId="3D98E82B"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B4"/>
    <w:rsid w:val="002D19B4"/>
    <w:rsid w:val="003B5732"/>
    <w:rsid w:val="003D5D6B"/>
    <w:rsid w:val="004E500D"/>
    <w:rsid w:val="0062281E"/>
    <w:rsid w:val="00797FF6"/>
    <w:rsid w:val="008673B0"/>
    <w:rsid w:val="009B7D11"/>
    <w:rsid w:val="00C227E7"/>
    <w:rsid w:val="00D3516D"/>
    <w:rsid w:val="00E72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2B16"/>
  <w15:chartTrackingRefBased/>
  <w15:docId w15:val="{CFA6207D-DB36-4BC3-8F19-2D416AD1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D19B4"/>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D19B4"/>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2D19B4"/>
    <w:rPr>
      <w:lang w:val="en-US"/>
    </w:rPr>
  </w:style>
  <w:style w:type="paragraph" w:styleId="Footer">
    <w:name w:val="footer"/>
    <w:basedOn w:val="Normal"/>
    <w:link w:val="FooterChar"/>
    <w:uiPriority w:val="99"/>
    <w:unhideWhenUsed/>
    <w:rsid w:val="002D19B4"/>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2D19B4"/>
    <w:rPr>
      <w:lang w:val="en-US"/>
    </w:rPr>
  </w:style>
  <w:style w:type="table" w:styleId="TableGrid">
    <w:name w:val="Table Grid"/>
    <w:basedOn w:val="TableNormal"/>
    <w:uiPriority w:val="39"/>
    <w:rsid w:val="002D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(Legal and Governance)</dc:creator>
  <cp:keywords/>
  <dc:description/>
  <cp:lastModifiedBy>Ronan Hutchison (Improvement and Performance)</cp:lastModifiedBy>
  <cp:revision>5</cp:revision>
  <dcterms:created xsi:type="dcterms:W3CDTF">2023-06-06T14:50:00Z</dcterms:created>
  <dcterms:modified xsi:type="dcterms:W3CDTF">2025-11-11T15:09:00Z</dcterms:modified>
</cp:coreProperties>
</file>